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88C0" w14:textId="255D2CF7" w:rsidR="00984C8D" w:rsidRDefault="00B87937" w:rsidP="00984C8D">
      <w:pPr>
        <w:pStyle w:val="SSRNheading"/>
        <w:spacing w:after="0" w:line="240" w:lineRule="auto"/>
        <w:contextualSpacing/>
        <w:jc w:val="center"/>
      </w:pPr>
      <w:r>
        <w:t>The c</w:t>
      </w:r>
      <w:r w:rsidR="00984C8D">
        <w:t xml:space="preserve">ycle of money </w:t>
      </w:r>
      <w:r>
        <w:t>- M</w:t>
      </w:r>
      <w:r w:rsidR="00186F9F">
        <w:t>inimum</w:t>
      </w:r>
      <w:r w:rsidR="00984C8D">
        <w:t xml:space="preserve"> </w:t>
      </w:r>
      <w:r w:rsidR="001A0248">
        <w:t>escape</w:t>
      </w:r>
      <w:r w:rsidR="00984C8D">
        <w:t xml:space="preserve"> savings and financial liquidity</w:t>
      </w:r>
    </w:p>
    <w:p w14:paraId="4DCD17B3" w14:textId="19B6D429" w:rsidR="00984C8D" w:rsidRDefault="00984C8D" w:rsidP="00984C8D">
      <w:pPr>
        <w:spacing w:line="264" w:lineRule="auto"/>
        <w:jc w:val="center"/>
        <w:rPr>
          <w:b/>
        </w:rPr>
      </w:pPr>
      <w:r>
        <w:rPr>
          <w:b/>
        </w:rPr>
        <w:t>Constantinos Challoumis</w:t>
      </w:r>
    </w:p>
    <w:p w14:paraId="17A8F0EE" w14:textId="5221002C" w:rsidR="00B87937" w:rsidRDefault="00B87937" w:rsidP="00984C8D">
      <w:pPr>
        <w:spacing w:line="264" w:lineRule="auto"/>
        <w:jc w:val="center"/>
        <w:rPr>
          <w:b/>
        </w:rPr>
      </w:pPr>
      <w:r>
        <w:rPr>
          <w:b/>
        </w:rPr>
        <w:t>challoumis_constantinos@yahoo.com</w:t>
      </w:r>
    </w:p>
    <w:p w14:paraId="501301DF" w14:textId="7233E371" w:rsidR="00984C8D" w:rsidRDefault="00984C8D" w:rsidP="00984C8D">
      <w:pPr>
        <w:pStyle w:val="SSRNnormal"/>
      </w:pPr>
      <w:r>
        <w:rPr>
          <w:b/>
        </w:rPr>
        <w:t>Abstract:</w:t>
      </w:r>
      <w:r>
        <w:t xml:space="preserve"> </w:t>
      </w:r>
      <w:r w:rsidR="006A2A1F">
        <w:t>This paper discusses the velocities of the minimum escape savings and financial liquidity. This means that it examined the behavior of the money cycle under normal conditions while controlling for the velocity of minimum escape savings and the velocity of financial liquidity.</w:t>
      </w:r>
      <w:r>
        <w:t xml:space="preserve"> </w:t>
      </w:r>
      <w:r w:rsidR="006A2A1F">
        <w:t>Therefore,</w:t>
      </w:r>
      <w:r>
        <w:t xml:space="preserve"> </w:t>
      </w:r>
      <w:r w:rsidR="002164D5">
        <w:t>it has</w:t>
      </w:r>
      <w:r>
        <w:t xml:space="preserve"> determine</w:t>
      </w:r>
      <w:r w:rsidR="002164D5">
        <w:t>d</w:t>
      </w:r>
      <w:r>
        <w:t xml:space="preserve"> how the economy works based on its cycle of money. </w:t>
      </w:r>
      <w:r w:rsidR="00BA72D9">
        <w:t>E</w:t>
      </w:r>
      <w:r w:rsidR="0042666C">
        <w:t xml:space="preserve">scape savings are the savings that leave the economy. The minimum escape savings simultaneously enhance the enforcement savings, leading them to their maximum level. The enforcement savings are the savings that stay </w:t>
      </w:r>
      <w:r w:rsidR="00BA72D9">
        <w:t>in</w:t>
      </w:r>
      <w:r w:rsidR="0042666C">
        <w:t xml:space="preserve"> the economy. </w:t>
      </w:r>
      <w:r>
        <w:t xml:space="preserve">Thence, it is plausible to extract conclusions about the consumption and the investments in each economy.  For this analysis </w:t>
      </w:r>
      <w:r w:rsidR="001A0248">
        <w:t>has</w:t>
      </w:r>
      <w:r>
        <w:t xml:space="preserve"> used a Q.E. method approach.</w:t>
      </w:r>
    </w:p>
    <w:p w14:paraId="64EC1865" w14:textId="5EA46D28" w:rsidR="001A0248" w:rsidRDefault="001A0248" w:rsidP="00984C8D">
      <w:pPr>
        <w:pStyle w:val="SSRNnormal"/>
      </w:pPr>
      <w:r w:rsidRPr="001A0248">
        <w:rPr>
          <w:b/>
          <w:bCs/>
        </w:rPr>
        <w:t>Keywords:</w:t>
      </w:r>
      <w:r>
        <w:t xml:space="preserve"> cycle of money, minimum escape savings, financial liquidity</w:t>
      </w:r>
    </w:p>
    <w:p w14:paraId="043BABAC" w14:textId="2E04083F" w:rsidR="00984C8D" w:rsidRDefault="001A0248" w:rsidP="001A0248">
      <w:pPr>
        <w:pStyle w:val="SSRNheading"/>
        <w:numPr>
          <w:ilvl w:val="0"/>
          <w:numId w:val="3"/>
        </w:numPr>
        <w:tabs>
          <w:tab w:val="right" w:pos="9360"/>
        </w:tabs>
      </w:pPr>
      <w:r>
        <w:t>Introduction</w:t>
      </w:r>
    </w:p>
    <w:p w14:paraId="0FB06B67" w14:textId="04FDA6F3" w:rsidR="00984C8D" w:rsidRDefault="001A0248" w:rsidP="00984C8D">
      <w:pPr>
        <w:pStyle w:val="SSRNnormal"/>
      </w:pPr>
      <w:r>
        <w:t>This paper examines the behavior of the money cycle when combined with the velocity of minimum escape savings and the velocity of financial liquidity</w:t>
      </w:r>
      <w:r w:rsidR="009D6EEA">
        <w:t xml:space="preserve"> </w:t>
      </w:r>
      <w:r w:rsidR="009D6EEA">
        <w:fldChar w:fldCharType="begin" w:fldLock="1"/>
      </w:r>
      <w:r w:rsidR="009D6EEA">
        <w:instrText>ADDIN CSL_CITATION {"citationItems":[{"id":"ITEM-1","itemData":{"DOI":"10.1088/1748-9326/ab81c1","ISSN":"17489326","abstract":"Despite the gravity of the climate threat, governments around the world have struggled to pass and implement climate policies. Today, politicians and advocates are championing a new idea: linking climate policy to other economic and social reforms. Will this approach generate greater public support for climate action? Here, we test this coalition-building strategy. Using two conjoint experiments on a representative sample of 2,476 Americans, we evaluate the marginal impact of 40 different climate, social, and economic policies on support for climate reforms. Overall, we find climate policy bundles that include social and economic reforms such as affordable housing, a $15 minimum wage, or a job guarantee increase US public support for climate mitigation. Clean energy standards, regardless of which technologies are included, also make climate policy more popular. Linking climate policy to economic and social issues is particularly effective at expanding climate policy support among people of color.","author":[{"dropping-particle":"","family":"Bergquist","given":"Parrish","non-dropping-particle":"","parse-names":false,"suffix":""},{"dropping-particle":"","family":"Mildenberger","given":"Matto","non-dropping-particle":"","parse-names":false,"suffix":""},{"dropping-particle":"","family":"Stokes","given":"Leah C.","non-dropping-particle":"","parse-names":false,"suffix":""}],"container-title":"Environmental Research Letters","id":"ITEM-1","issue":"5","issued":{"date-parts":[["2020"]]},"title":"Combining climate, economic, and social policy builds public support for climate action in the US","type":"article-journal","volume":"15"},"uris":["http://www.mendeley.com/documents/?uuid=f2f619a9-ccd6-3613-a88a-fba9b6151475"]},{"id":"ITEM-2","itemData":{"DOI":"10.1016/j.jedc.2018.02.009","ISSN":"01651889","abstract":"We present a theory linking the cyclicality of tax policy to inherited public debt. When debt is low, tax policy is countercyclical, in the sense that the government responds to low output by setting a low tax rate. Above a threshold level of debt, however, optimal tax policy becomes procyclical. This creates the possibility of self-fulfilling crises (“fiscal policy traps”), in which output is low because households expect high taxes, and the government sets high taxes because output is low. Our model suggests why highly indebted governments might implement procyclical tax policy even without facing high sovereign risk premia.","author":[{"dropping-particle":"","family":"Camous","given":"Antoine","non-dropping-particle":"","parse-names":false,"suffix":""},{"dropping-particle":"","family":"Gimber","given":"Andrew R.","non-dropping-particle":"","parse-names":false,"suffix":""}],"container-title":"Journal of Economic Dynamics and Control","id":"ITEM-2","issued":{"date-parts":[["2018"]]},"title":"Public debt and fiscal policy traps","type":"article-journal","volume":"93"},"uris":["http://www.mendeley.com/documents/?uuid=fa4d19a2-efa1-3861-b4e3-f598c015be6e"]},{"id":"ITEM-3","itemData":{"DOI":"10.1007/s11121-016-0638-3","ISSN":"15736695","abstract":"Evidence-based intervention programs have become highly important in recent years, especially in educational contexts. However, transferring these programs into practice and into the wider field of public policy often fails. As a consequence, the field of implementation research has emerged, several implementation frameworks have been developed, and implementation studies conducted. However, intervention research and implementation research have not yet been connected systematically and different traditions and research groups are involved. Implementation researchers are mostly given mandates by politicians to take on the implementation of already existing interventions. This might be one of the key reasons why there are still many problems in translating programs into widespread community practice. In this paper, we argue for a systematic integration of intervention and implementation research (“I3-Approach”) and recommend a six-step procedure (PASCIT). This requires researchers to design and develop intervention programs using a field-oriented and participative approach. In particular, the perspective of policymakers has to be included as well as an analysis of which factors support or hinder evidence-based policy in contrast to opinion-based policy. How this systematic connection between intervention and implementation research can be realized, is illustrated by means of the development and implementation of the ViSC school program, which intends to reduce aggressive behavior and bullying and to foster social and intercultural competencies.","author":[{"dropping-particle":"","family":"Spiel","given":"Christiane","non-dropping-particle":"","parse-names":false,"suffix":""},{"dropping-particle":"","family":"Schober","given":"Barbara","non-dropping-particle":"","parse-names":false,"suffix":""},{"dropping-particle":"","family":"Strohmeier","given":"Dagmar","non-dropping-particle":"","parse-names":false,"suffix":""}],"container-title":"Prevention Science","id":"ITEM-3","issue":"3","issued":{"date-parts":[["2018"]]},"title":"Implementing intervention research into public policy—the “I3-approach”","type":"article-journal","volume":"19"},"uris":["http://www.mendeley.com/documents/?uuid=72454b3a-f806-3380-a3e9-afa727a29436"]},{"id":"ITEM-4","itemData":{"DOI":"10.1016/0308-5961(88)90007-9","ISSN":"03085961","abstract":"This article reviews the literature of economic, technological and public policy issues regarding telecommunications. The author synthesizes the major economic insights into telecommunications by taking into account specified features of the subject matter and its associated scholarly literature. Particular weight is given to work that has helped to establish a suitable theoretical, methodological, empirical and policy framework and that suggests the most promising ways in which future research topics and techniques can build upon the results to date. © 1988.","author":[{"dropping-particle":"","family":"Snow","given":"Marcellus S.","non-dropping-particle":"","parse-names":false,"suffix":""}],"container-title":"Telecommunications Policy","id":"ITEM-4","issue":"2","issued":{"date-parts":[["1988"]]},"title":"Telecommunications literature. A critical review of the economic, technological and public policy issues","type":"article-journal","volume":"12"},"uris":["http://www.mendeley.com/documents/?uuid=99751605-a5b9-3f2c-a6e7-2ed770e19bd7"]},{"id":"ITEM-5","itemData":{"DOI":"10.1016/j.trd.2020.102384","ISSN":"13619209","abstract":"Norway has the world's highest share of battery electric vehicles (BEVs) in its passenger car fleet, thanks to a set of policies that has included high purchase taxes for fossil fueled cars, and no tolls, no VAT, and free parking for BEVs. This paper uses a very stylized transport model for the greater Oslo area to give insights into the effects of different transport policies. With this model we go beyond the market penetration studies for EVs, as it brings together both car choice and transport patterns with mode choice for a set of heterogeneous representative model agents. We illustrate the possible effects of current policies on congestion, CO2 emissions and other urban transport externalities, public transport use and crowding, tax revenues and welfare. On this basis, we explore other road toll, public transport fare and tax policies that can lead to better outcomes for the Oslo transport market while still respecting the CO2-cap that reflects the goals of Norwegian policy makers.","author":[{"dropping-particle":"","family":"Wangsness","given":"Paal Brevik","non-dropping-particle":"","parse-names":false,"suffix":""},{"dropping-particle":"","family":"Proost","given":"Stef","non-dropping-particle":"","parse-names":false,"suffix":""},{"dropping-particle":"","family":"Rødseth","given":"Kenneth Løvold","non-dropping-particle":"","parse-names":false,"suffix":""}],"container-title":"Transportation Research Part D: Transport and Environment","id":"ITEM-5","issued":{"date-parts":[["2020"]]},"title":"Vehicle choices and urban transport externalities. Are Norwegian policy makers getting it right?","type":"article-journal","volume":"86"},"uris":["http://www.mendeley.com/documents/?uuid=bfdf9172-930e-3413-9dbf-6339207ab1c2"]},{"id":"ITEM-6","itemData":{"abstract":"Policy formulation clearly is a critical phase of the policy process which also is an explicit subject of policy design. The public policy formulation is part of the pre-decision phase of policy making including to craft the goals and priorities and options, costs and benefits of each options, externalities of each option. It involves identifying a set of policy alternatives and public policy tools to address a problem as a result that a prepared set of solutions is done for the final solutions from which decision makers actually choose by judging the feasibility, political acceptance, costs and benefits. But the attention to policy formulation is also embedded in work on policy communities and policy networks, who does the design? (see Chap 6, Studying Public Policy (Howlett, 2003)). On the other words, the formulation process will need the motivation and participation of different actors with their entrances of new actors and new ideas who will actually play their roles in the policy design process. In the context of developing countries, this paper aims to examine the model of policy formulation and the type of feasible solutions or options for resolving the policy design process. In the context of developing countries, this paper aims to examine the model of policy formulation and the type of feasible solutions or options for resolving the policy problems. Thus, the structure of the sub-system with two components of the discourse community and interest network will decide the participation of different policy actors and final chosen public policy solutions.","author":[{"dropping-particle":"","family":"Hai","given":"Do.P","non-dropping-particle":"","parse-names":false,"suffix":""}],"container-title":"Public Policy","id":"ITEM-6","issue":"C","issued":{"date-parts":[["2016"]]},"title":"Process of Public Policy Formulation in Developing Countries","type":"article-journal"},"uris":["http://www.mendeley.com/documents/?uuid=9eb8fb0f-7b3e-3c20-a473-0e7b4b2f3120"]},{"id":"ITEM-7","itemData":{"DOI":"10.1371/journal.pone.0244174","ISSN":"19326203","abstract":"With the COVID-19 pandemic infecting millions of people, large-scale isolation policies have been enacted across the globe. To assess the impact of isolation measures on deaths, hospitalizations, and economic output, we create a mathematical model to simulate the spread of COVID-19, incorporating effects of restrictive measures and segmenting the population based on health risk and economic vulnerability. Policymakers make isolation policy decisions based on current levels of disease spread and economic damage. For 76 weeks in a population of 330 million, we simulate a baseline scenario leaving strong isolation restrictions in place, rapidly reducing isolation restrictions for non-seniors shortly after outbreak containment, and gradually relaxing isolation restrictions for non-seniors. We use 76 weeks as an approximation of the time at which a vaccine will be available. In the baseline scenario, there are 235,724 deaths and the economy shrinks by 34.0%. With a rapid relaxation, a second outbreak takes place, with 525,558 deaths, and the economy shrinks by 32.3%. With a gradual relaxation, there are 262,917 deaths, and the economy shrinks by 29.8%. We also show that hospitalizations, deaths, and economic output are quite sensitive to disease spread by asymptomatic people. Strict restrictions on seniors with very gradual lifting of isolation for non-seniors results in a limited number of deaths and lesser economic damage. Therefore, we recommend this strategy and measures that reduce non-isolated disease spread to control the pandemic while making isolation economically viable.","author":[{"dropping-particle":"","family":"Goldsztejn","given":"Uri","non-dropping-particle":"","parse-names":false,"suffix":""},{"dropping-particle":"","family":"Schwartzman","given":"David","non-dropping-particle":"","parse-names":false,"suffix":""},{"dropping-particle":"","family":"Nehorai","given":"Arye","non-dropping-particle":"","parse-names":false,"suffix":""}],"container-title":"PLoS ONE","id":"ITEM-7","issue":"12 December","issued":{"date-parts":[["2020"]]},"title":"Public policy and economic dynamics of COVID-19 spread: A mathematical modeling study","type":"article-journal","volume":"15"},"uris":["http://www.mendeley.com/documents/?uuid=becbfa03-81c2-36d5-929d-d319899b2fd7"]},{"id":"ITEM-8","itemData":{"DOI":"10.18488/journal.aefr/2017.7.1/102.1.99.108","ISSN":"23052147","abstract":"This paper empirically analyzes the nonlinear relation between real GDP growth per capital and public debt by employing ADL test for threshold cointegration method. Empirical results show that there exists a threshold cointegration relationship between public debt and real GDP growth per capital. In case of the empirical results, cutting public debt could boost economic growth in the long-term. However, the short term variation of public debt makes little impact on real output per capital. Comparatively speaking, human capital and investment rate and trade openness make larger influence on real GDP growth per capital. From the perspective of economic policy, the government should take full advantage of the fiscal policy to cut public debt with the operation space of monetary policy being compressed.","author":[{"dropping-particle":"","family":"Cai","given":"Yifei","non-dropping-particle":"","parse-names":false,"suffix":""}],"container-title":"Asian Economic and Financial Review","id":"ITEM-8","issue":"1","issued":{"date-parts":[["2017"]]},"title":"Nonlinear Analysis of Economic Growth, Public Debt and Policy Tools","type":"article-journal","volume":"7"},"uris":["http://www.mendeley.com/documents/?uuid=55fa1bdc-b1fd-3dc8-bc45-468de9f4b317"]}],"mendeley":{"formattedCitation":"(Bergquist et al., 2020; Cai, 2017; Camous &amp; Gimber, 2018; Goldsztejn et al., 2020; Hai, 2016; Snow, 1988; Spiel et al., 2018; Wangsness et al., 2020)","plainTextFormattedCitation":"(Bergquist et al., 2020; Cai, 2017; Camous &amp; Gimber, 2018; Goldsztejn et al., 2020; Hai, 2016; Snow, 1988; Spiel et al., 2018; Wangsness et al., 2020)","previouslyFormattedCitation":"(Bergquist et al., 2020; Cai, 2017; Camous &amp; Gimber, 2018; Goldsztejn et al., 2020; Hai, 2016; Snow, 1988; Spiel et al., 2018; Wangsness et al., 2020)"},"properties":{"noteIndex":0},"schema":"https://github.com/citation-style-language/schema/raw/master/csl-citation.json"}</w:instrText>
      </w:r>
      <w:r w:rsidR="009D6EEA">
        <w:fldChar w:fldCharType="separate"/>
      </w:r>
      <w:r w:rsidR="009D6EEA" w:rsidRPr="009D6EEA">
        <w:rPr>
          <w:noProof/>
        </w:rPr>
        <w:t>(Bergquist et al., 2020; Cai, 2017; Camous &amp; Gimber, 2018; Goldsztejn et al., 2020; Hai, 2016; Snow, 1988; Spiel et al., 2018; Wangsness et al., 2020)</w:t>
      </w:r>
      <w:r w:rsidR="009D6EEA">
        <w:fldChar w:fldCharType="end"/>
      </w:r>
      <w:r>
        <w:t>. Contracts and agreements between participants in control transactions determine how profits and losses are allocated.</w:t>
      </w:r>
      <w:r w:rsidR="00984C8D">
        <w:t xml:space="preserve"> The agreements should be mentioned the changes in the contracts</w:t>
      </w:r>
      <w:r w:rsidR="009D6EEA">
        <w:t xml:space="preserve"> </w:t>
      </w:r>
      <w:r w:rsidR="009D6EEA">
        <w:fldChar w:fldCharType="begin" w:fldLock="1"/>
      </w:r>
      <w:r w:rsidR="009D6EEA">
        <w:instrText>ADDIN CSL_CITATION {"citationItems":[{"id":"ITEM-1","itemData":{"DOI":"10.2139/ssrn.1152105","ISSN":"1556-5068","abstract":"The focus and contribution of behavioral economics is discussed in detail focusing on its varied contribution to economic theory, economic analysis, and public policy. Recent contributions related to the work of Kahneman and Tversky's heuristics and biases paradigm are critically assessed in the context of the much wider scope of the behavioral line of research that ultimately flows from the empirically based understanding that the realism of ones simplifying assumptions matter for the construction rigorous economic theory. Such assumptions are not only psychological in nature, but also biological, sociological, and institutional. Moreover, behavioral economics is much more than consumer behavior and behavior on financial markets, a preeminent focus of contemporary behavioral economics. It is also very much concerned with theories of production, theories of the firm, household behavior, and institutions. Findings of behavioral economists tend to refute the notion that individuals behave neoclassically, giving rise to a literature and debate as to which heuristics and sociological and institutional priors are rational, which yield optimal economic results, and which tend to improve socioeconomic welfare. Although many contemporary behavior economists argue that individuals are fundamentally irrational because they do not behave neoclassically, a forceful narrative remains which considers non-neoclassical behavior rational, yielding optimal economic results under particular conditions. A common thread running through behavioral economic is that modeling assumptions matter and that conventional theory is seriously wanting in this front with significant implication for economic analysis, theory and public policy, some which are discussed in this article.","author":[{"dropping-particle":"","family":"Altman","given":"Morris","non-dropping-particle":"","parse-names":false,"suffix":""}],"container-title":"SSRN Electronic Journal","id":"ITEM-1","issued":{"date-parts":[["2012"]]},"title":"Behavioral Economics, Economic Theory and Public Policy","type":"article-journal"},"uris":["http://www.mendeley.com/documents/?uuid=6cb5d93f-e220-3739-a5ac-2d4eeafaa370"]},{"id":"ITEM-2","itemData":{"DOI":"10.1177/0094306115588487x","ISSN":"0094-3061","abstract":"Public housing was an integral part of the New Deal, as the federal government funded public works to generate economic activity and offer material support to families made destitute by the Great Depression, and it remained a major element of urban policy in subsequent decades. As chronicled in New Deal Ruins, however, housing policy since the 1990s has turned to the demolition of public housing in favor of subsidized units in mixed-income communities and the use of tenant-based vouchers rather than direct housing subsidies. While these policies, articulated in the HOPE VI program begun in 1992, aimed to improve the social and economic conditions of urban residents, the results have been quite different. As Edward G. Goetz shows, hundreds of thousands of people have been displaced and there has been a loss of more than 250,000 permanently affordable residential units. Goetz offers a critical analysis of the nationwide effort to dismantle public housing by focusing on the impact of policy changes in three cities: Atlanta, Chicago, and New Orleans.","author":[{"dropping-particle":"","family":"Taub","given":"Richard","non-dropping-particle":"","parse-names":false,"suffix":""}],"container-title":"Contemporary Sociology: A Journal of Reviews","id":"ITEM-2","issue":"4","issued":{"date-parts":[["2015"]]},"title":"New Deal Ruins: Race, Economic Justice, and Public Housing Policy","type":"article-journal","volume":"44"},"uris":["http://www.mendeley.com/documents/?uuid=0547f0b8-64d6-3c4d-a7bc-cec3c1fc3dce"]},{"id":"ITEM-3","itemData":{"DOI":"10.30636/jbpa.31.108","abstract":"In this article, we explore how specific policy information shapes public opinion toward the “hidden welfare state” of tax expenditures. These politically and socioeconomically consequential policies—most of which bestow their greatest benefits on upper-income people—are complex and opaque, and scholars’ understanding of citizen attitudes toward them is limited. In response, we use a randomized, general population, online survey experiment to test the effects of providing people with varying amounts and kinds of information about three policies. We find that learning the basic design and rationale of key tax expenditures tends to increase public support for them. However, when informed of the distributive effects of the two policies that favor upper-income people, subjects become much less supportive of these policies. Moreover, policy-specific information appears to help subjects align their preferences with their immediate material interests. Learning the upward tilt of tax expenditures especially makes lower- and middle-income people less supportive of the policies. Our results suggest that if political elites, government administrators and news media routinely offered clear information about tax expenditures, public opinion toward the hidden welfare state would be more firmly grounded. By virtue of their design, these policies discourage public awareness of their mechanisms and distributive effects. Still, greater informational outreach regarding complicated and arcane tax expenditures could bolster public accountability for government actions that favor economically narrow and privileged segments of the population.","author":[{"dropping-particle":"","family":"Guardino","given":"Matt","non-dropping-particle":"","parse-names":false,"suffix":""},{"dropping-particle":"","family":"Mettler","given":"Suzanne","non-dropping-particle":"","parse-names":false,"suffix":""}],"container-title":"Journal of Behavioral Public Administration","id":"ITEM-3","issue":"1","issued":{"date-parts":[["2020"]]},"title":"Revealing the “Hidden welfare state”: How policy information influences public attitudes about tax expenditures","type":"article-journal","volume":"3"},"uris":["http://www.mendeley.com/documents/?uuid=fb0a68a6-a56a-36fc-a539-a5aa81938114"]},{"id":"ITEM-4","itemData":{"DOI":"10.1016/j.polsoc.2016.12.002","ISSN":"14494035","abstract":"Executive education programs at schools of public policy are currently under examined in the literature. More than their strictly academic counterparts, executive education programs must be immediately relevant to the needs of practitioners and should be grounded in evidence of what works to improve public management. This article draws attention to the uneven global development of executive education, with American schools leading the way by a significant margin. Among schools who do engage in this activity there is an emerging orthodoxy based on the dominance of an “action learning” framework, a curriculum focused on leadership and management skills, and a faculty supplemented by practitioners with experience in public policy development and service delivery. Executive education has the potential to bridge the gap between theory and practice by bringing the research and expertise of public policy schools to a much broader community.","author":[{"dropping-particle":"","family":"Rasmussen","given":"Ken","non-dropping-particle":"","parse-names":false,"suffix":""},{"dropping-particle":"","family":"Callan","given":"Derrick","non-dropping-particle":"","parse-names":false,"suffix":""}],"container-title":"Policy and Society","id":"ITEM-4","issue":"4","issued":{"date-parts":[["2016"]]},"title":"Schools of public policy and executive education: An opportunity missed?","type":"article-journal","volume":"35"},"uris":["http://www.mendeley.com/documents/?uuid=9a02aca0-450f-3535-ad29-aeb6f093555f"]},{"id":"ITEM-5","itemData":{"DOI":"10.1080/09640568.2010.488116","ISSN":"09640568","abstract":"Much can be learned about adaptation by applying structures and methodologies already used in other research fields. This study employs a public economic policy approach to investigate how - or if at all - adaptation should be supported by the public sector. Three different fields of adaptation activity are identified which are especially relevant for government intervention and the study proposes ways in which government intervention could be conducted. The analysis takes into account that developing regions are particularly vulnerable and they have insufficient funds to adequately adapt to climate change. © 2010 University of Newcastle upon Tyne.","author":[{"dropping-particle":"","family":"Aakre","given":"Stine","non-dropping-particle":"","parse-names":false,"suffix":""},{"dropping-particle":"","family":"Rübbelke","given":"Dirk T.G.","non-dropping-particle":"","parse-names":false,"suffix":""}],"container-title":"Journal of Environmental Planning and Management","id":"ITEM-5","issue":"6","issued":{"date-parts":[["2010"]]},"title":"Objectives of public economic policy and the adaptation to climate change","type":"article-journal","volume":"53"},"uris":["http://www.mendeley.com/documents/?uuid=7528582f-2659-3f82-96a5-0f25d3c5fa1a"]},{"id":"ITEM-6","itemData":{"DOI":"10.1162/DAED_a_01776","ISSN":"15486192","abstract":"In the United States, economic inequality is both racialized and gendered, with Black and Latina women consistently at the bottom of the economic hierarchy. Relative to men (across racial groups) and White women, Black and Latina women often have less-desirable jobs, lower earnings, and higher poverty rates. In this essay, we draw attention to the role of the state in structuring such inequality. Specifically, we examine how public policy is related to racial inequities in economic positions among women. Applying an intersectional lens to the contemporary landscape of economic inequality, we probe the associations between public policies and economic outcomes. We find that policies have unequal consequences across subgroups of women, providing prima facie evidence that state-level decisions about how and where to invest resources have differential implications based on women’s race and ethnicity. We encourage scholars to use aspects of our approach as springboards for better specifying and identifying the processes that account for heterogeneous policy effects across racial subgroups of women.","author":[{"dropping-particle":"","family":"Michener","given":"Jamila","non-dropping-particle":"","parse-names":false,"suffix":""},{"dropping-particle":"","family":"Brower","given":"Margaret Teresa","non-dropping-particle":"","parse-names":false,"suffix":""}],"container-title":"Daedalus","id":"ITEM-6","issue":"1","issued":{"date-parts":[["2020"]]},"title":"What’s policy got to do with it? Race, gender &amp; economic inequality in the United States","type":"article-journal","volume":"149"},"uris":["http://www.mendeley.com/documents/?uuid=acc4a837-3add-3805-834f-8ea1faedd19b"]},{"id":"ITEM-7","itemData":{"DOI":"10.1017/bpp.2020.17","ISSN":"2398-063X","abstract":" Policymakers are increasingly turning to insights gained from the experimental method as a means to inform large-scale public policies. Critics view this increased usage as premature, pointing to the fact that many experimentally tested programs fail to deliver their promise at scale. Under this view, the experimental approach drives too much public policy. Yet, if policymakers could be more confident that the original research findings would be delivered at scale, even the staunchest critics would carve out a larger role for experiments to inform policy. Leveraging the economic framework of Al-Ubaydli et al. (2019), we put forward 12 simple proposals, spanning researchers, policymakers, funders and stakeholders, which together tackle the most vexing scalability threats. The framework highlights that only after we deepen our understanding of the scale-up problem will we be on solid ground to argue that scientific experiments should hold a more prominent place in the policymaker's quiver. ","author":[{"dropping-particle":"","family":"AL-UBAYDLI","given":"OMAR","non-dropping-particle":"","parse-names":false,"suffix":""},{"dropping-particle":"","family":"LEE","given":"MIN SOK","non-dropping-particle":"","parse-names":false,"suffix":""},{"dropping-particle":"","family":"LIST","given":"JOHN A.","non-dropping-particle":"","parse-names":false,"suffix":""},{"dropping-particle":"","family":"MACKEVICIUS","given":"CLAIRE L.","non-dropping-particle":"","parse-names":false,"suffix":""},{"dropping-particle":"","family":"SUSKIND","given":"DANA","non-dropping-particle":"","parse-names":false,"suffix":""}],"container-title":"Behavioural Public Policy","id":"ITEM-7","issue":"1","issued":{"date-parts":[["2021"]]},"title":"How can experiments play a greater role in public policy? Twelve proposals from an economic model of scaling","type":"article-journal","volume":"5"},"uris":["http://www.mendeley.com/documents/?uuid=45da8519-8584-32bb-8a1c-a2b7bfc27217"]},{"id":"ITEM-8","itemData":{"DOI":"10.1080/01900692.2019.1707353","ISSN":"15324265","abstract":"The articles of this special issue explore the problems of public policy in the Middle East and North Africa (MENA) region (including Turkey, excluding Iran) as well as why the role of public policy is relatively limited in achieving the overall development in the region. Although many countries in the region experienced political upheavals (Arab Spring) to improve the quality of governance, the situation has only symbolically changed since then. The articles presented in this special issue have portrayed the relationship between society and public policy from their contextual perspectives. The editors anticipate that these articles will contribute to the advancement of literature on public policy and administration in the MENA region.","author":[{"dropping-particle":"","family":"Bhuiyan","given":"Shahjahan","non-dropping-particle":"","parse-names":false,"suffix":""},{"dropping-particle":"","family":"Farazmand","given":"Ali","non-dropping-particle":"","parse-names":false,"suffix":""}],"container-title":"International Journal of Public Administration","id":"ITEM-8","issue":"5","issued":{"date-parts":[["2020"]]},"title":"Society and Public Policy in the Middle East and North Africa","type":"article","volume":"43"},"uris":["http://www.mendeley.com/documents/?uuid=4e8d66ee-818f-3ffd-a029-883747961149"]},{"id":"ITEM-9","itemData":{"DOI":"10.1111/1540-6040.00030","ISSN":"1535-6841","abstract":"In recent decades two broad trends in American society have been well–documented: rising income inequality and rising segregation of economic classes across space in metropolitan areas. The thesis of this article is that rising economic segregation is both a cause of rising economic inequality and amplifies its effects in ways that do not showup in the income statistics. The article synthesizes the evidence on the contextual effects of economic segregation in three areas: 1) jobs and income; 2) public services; and 3) retail services. Economic segregation does not only undermine equal opportunity, it also damages American democracy. Although more research is needed on the effects of economic segregation, the evidence is more than sufficient to call for public action.","author":[{"dropping-particle":"","family":"Swanstrom","given":"Todd","non-dropping-particle":"","parse-names":false,"suffix":""},{"dropping-particle":"","family":"Dreier","given":"Peter","non-dropping-particle":"","parse-names":false,"suffix":""},{"dropping-particle":"","family":"Mollenkopf","given":"John","non-dropping-particle":"","parse-names":false,"suffix":""}],"container-title":"City &amp; Community","id":"ITEM-9","issue":"4","issued":{"date-parts":[["2002"]]},"title":"Economic Inequality and Public Policy: The Power of Place","type":"article-journal","volume":"1"},"uris":["http://www.mendeley.com/documents/?uuid=eff51d71-fe23-3d93-b860-b349217cc4f7"]}],"mendeley":{"formattedCitation":"(Aakre &amp; Rübbelke, 2010; AL-UBAYDLI et al., 2021; Altman, 2012; Bhuiyan &amp; Farazmand, 2020; Guardino &amp; Mettler, 2020; Michener &amp; Brower, 2020; Rasmussen &amp; Callan, 2016; Swanstrom et al., 2002; Taub, 2015)","plainTextFormattedCitation":"(Aakre &amp; Rübbelke, 2010; AL-UBAYDLI et al., 2021; Altman, 2012; Bhuiyan &amp; Farazmand, 2020; Guardino &amp; Mettler, 2020; Michener &amp; Brower, 2020; Rasmussen &amp; Callan, 2016; Swanstrom et al., 2002; Taub, 2015)","previouslyFormattedCitation":"(Aakre &amp; Rübbelke, 2010; AL-UBAYDLI et al., 2021; Altman, 2012; Bhuiyan &amp; Farazmand, 2020; Guardino &amp; Mettler, 2020; Michener &amp; Brower, 2020; Rasmussen &amp; Callan, 2016; Swanstrom et al., 2002; Taub, 2015)"},"properties":{"noteIndex":0},"schema":"https://github.com/citation-style-language/schema/raw/master/csl-citation.json"}</w:instrText>
      </w:r>
      <w:r w:rsidR="009D6EEA">
        <w:fldChar w:fldCharType="separate"/>
      </w:r>
      <w:r w:rsidR="009D6EEA" w:rsidRPr="009D6EEA">
        <w:rPr>
          <w:noProof/>
        </w:rPr>
        <w:t>(Aakre &amp; Rübbelke, 2010; AL-UBAYDLI et al., 2021; Altman, 2012; Bhuiyan &amp; Farazmand, 2020; Guardino &amp; Mettler, 2020; Michener &amp; Brower, 2020; Rasmussen &amp; Callan, 2016; Swanstrom et al., 2002; Taub, 2015)</w:t>
      </w:r>
      <w:r w:rsidR="009D6EEA">
        <w:fldChar w:fldCharType="end"/>
      </w:r>
      <w:r w:rsidR="00984C8D">
        <w:t>. This is the reason why the tax authorities should make periodic inspections. The periodic specification of contracts is important for the comparability analysis</w:t>
      </w:r>
      <w:r w:rsidR="009D6EEA">
        <w:t xml:space="preserve"> </w:t>
      </w:r>
      <w:r w:rsidR="009D6EEA">
        <w:fldChar w:fldCharType="begin" w:fldLock="1"/>
      </w:r>
      <w:r w:rsidR="009D6EEA">
        <w:instrText>ADDIN CSL_CITATION {"citationItems":[{"id":"ITEM-1","itemData":{"author":[{"dropping-particle":"","family":"Challoumis","given":"Constantinos","non-dropping-particle":"","parse-names":false,"suffix":""}],"container-title":"Social and Economic Studies within the Framework of Emerging Global Developments","id":"ITEM-1","issued":{"date-parts":[["2024"]]},"title":"Rewarding taxes on the cycle of money","type":"book","volume":"5"},"uris":["http://www.mendeley.com/documents/?uuid=3d2e7968-866f-4078-98a1-7a275c8fe042"]},{"id":"ITEM-2","itemData":{"author":[{"dropping-particle":"","family":"Challoumis","given":"Constantinos","non-dropping-particle":"","parse-names":false,"suffix":""}],"container-title":"Actual Problems of Economics","id":"ITEM-2","issue":"1","issued":{"date-parts":[["2022"]]},"title":"Structure of the economy","type":"article-journal","volume":"247"},"uris":["http://www.mendeley.com/documents/?uuid=88558ef0-8b50-4db1-bbe3-41ca5ccd4737"]},{"id":"ITEM-3","itemData":{"author":[{"dropping-particle":"","family":"Challoumis","given":"Constantinos","non-dropping-particle":"","parse-names":false,"suffix":""}],"container-title":"International Journal of Multicultural and Multireligious Understanding (IJMMU)","id":"ITEM-3","issue":"7","issued":{"date-parts":[["2023"]]},"title":"G7 - Global Minimum Corporate Tax Rate of 15%","type":"article-journal","volume":"10"},"uris":["http://www.mendeley.com/documents/?uuid=35364272-bd1c-429d-8ac9-969da9edd3ac"]},{"id":"ITEM-4","itemData":{"author":[{"dropping-particle":"","family":"Challoumis","given":"Constantinos","non-dropping-particle":"","parse-names":false,"suffix":""}],"container-title":"Open Journal for Research in Economics","id":"ITEM-4","issue":"2","issued":{"date-parts":[["2023"]]},"page":"61-68","title":"Minimum Мixed Savings on Cycle of Money","type":"article-journal","volume":"6"},"uris":["http://www.mendeley.com/documents/?uuid=e7d28635-cd7a-4144-930b-4afeb781ccc2"]},{"id":"ITEM-5","itemData":{"author":[{"dropping-particle":"","family":"Challoumis","given":"Constantinos","non-dropping-particle":"","parse-names":false,"suffix":""}],"container-title":"Open Journal for Research in Economics","id":"ITEM-5","issue":"2","issued":{"date-parts":[["2024"]]},"title":"Velocity of the escaped savings and financial liquidity on minimum mixed savings","type":"article-journal","volume":"7"},"uris":["http://www.mendeley.com/documents/?uuid=bdc8f0e2-d103-4d61-86e9-77fa8c5f5afd"]},{"id":"ITEM-6","itemData":{"author":[{"dropping-particle":"","family":"Challoumis","given":"Constantinos","non-dropping-particle":"","parse-names":false,"suffix":""}],"container-title":"Journal of Digital Economics and Stability","id":"ITEM-6","issue":"2023","issued":{"date-parts":[["2023"]]},"page":"55-65","title":"The Velocity of Escaped Savings and Maximum Financial Liquidity","type":"article-journal","volume":"34"},"uris":["http://www.mendeley.com/documents/?uuid=222dfd48-03ea-49b6-a7be-8c0c1975cba1"]},{"id":"ITEM-7","itemData":{"author":[{"dropping-particle":"","family":"Challoumis","given":"Constantinos","non-dropping-particle":"","parse-names":false,"suffix":""}],"container-title":"Complex System Research Centre","id":"ITEM-7","issued":{"date-parts":[["2023"]]},"page":"241-244","title":"Capital and Risk in the Tax System","type":"chapter"},"uris":["http://www.mendeley.com/documents/?uuid=a2b6fe9a-ce83-4699-812d-27a590e203d3"]},{"id":"ITEM-8","itemData":{"author":[{"dropping-particle":"","family":"Challoumis","given":"Constantinos","non-dropping-particle":"","parse-names":false,"suffix":""}],"container-title":"Research Papers in Economics and Finance","id":"ITEM-8","issue":"1","issued":{"date-parts":[["2022"]]},"page":"72-86","title":"Index of the cycle of money - the case of Poland","type":"article-journal","volume":"6"},"uris":["http://www.mendeley.com/documents/?uuid=4e460d20-88f7-4f0d-8965-9177c667303e"]},{"id":"ITEM-9","itemData":{"author":[{"dropping-particle":"","family":"Challoumis","given":"Constantinos","non-dropping-particle":"","parse-names":false,"suffix":""}],"container-title":"Economics","id":"ITEM-9","issue":"2","issued":{"date-parts":[["2023"]]},"title":"Risk on the tax system of the E.U. from 2016 to 2022","type":"article-journal","volume":"11"},"uris":["http://www.mendeley.com/documents/?uuid=a73395fa-7c02-4259-bc9d-db7b109801b3"]},{"id":"ITEM-10","itemData":{"author":[{"dropping-particle":"","family":"Challoumis","given":"Constantinos","non-dropping-particle":"","parse-names":false,"suffix":""}],"container-title":"Open Journal for Research in Economics (OJRE)","id":"ITEM-10","issue":"1","issued":{"date-parts":[["2021"]]},"title":"Index of the cycle of money - The case of Serbia","type":"article-journal","volume":"4"},"uris":["http://www.mendeley.com/documents/?uuid=8cf20803-c40a-47b5-b174-da51555e1211"]},{"id":"ITEM-11","itemData":{"author":[{"dropping-particle":"","family":"Challoumis","given":"Constantinos","non-dropping-particle":"","parse-names":false,"suffix":""}],"container-title":"Bulletin of the Transilvania University of Braşov","id":"ITEM-11","issue":"60","issued":{"date-parts":[["2018"]]},"page":"125-136","title":"THE IMPACT FACTOR OF HEALTH ON THE ECONOMY USING THE CYCLE OF MONEY","type":"article-journal","volume":"11"},"uris":["http://www.mendeley.com/documents/?uuid=9a28aa92-5ccb-4b04-8354-6fdb8166ede1"]},{"id":"ITEM-12","itemData":{"author":[{"dropping-particle":"","family":"Challoumis","given":"Constantinos","non-dropping-particle":"","parse-names":false,"suffix":""}],"container-title":"Sapienza","id":"ITEM-12","issue":"3","issued":{"date-parts":[["2023"]]},"page":"1-11","title":"Index of the cycle of money: The case of Costa Rica","type":"article-journal","volume":"4"},"uris":["http://www.mendeley.com/documents/?uuid=ce01bc02-ca76-45ce-8c22-5ab09dc2af63"]},{"id":"ITEM-13","itemData":{"author":[{"dropping-particle":"","family":"Challoumis","given":"Constantinos","non-dropping-particle":"","parse-names":false,"suffix":""}],"container-title":"Complex System Research Centre","id":"ITEM-13","issued":{"date-parts":[["2019"]]},"page":"151-160","title":"The Impact Factor of Education on the Public Sector and International Controlled Transactions","type":"article-journal","volume":"2019"},"uris":["http://www.mendeley.com/documents/?uuid=a681ac8e-37a9-441c-acb0-5b958fee4543"]},{"id":"ITEM-14","itemData":{"abstract":"This paper is about the costs of the enterprises to the tax system. Thence, we have an analysis of the impact factor of the tax revenues of the countries subject to the costs of companies on the tax system. Thereupon from the view of the level of influence of the enterprises which participate in controlled transactions of transfer pricing to the global tax revenue, it is plausible to identify the impact factor of costs, when there exists that factor with the case which that factor is avoided. The impact factor of costs in combination with the tax revenues is determined through the Q.E. method and the R.B.Q. model. Inasmuch as, is defined as the behavior of the tax system subject to the capital of the tax system. Then a quantitative simulation is used as a methodology for this work, to define the impact of costs on the enterprises.","author":[{"dropping-particle":"","family":"Challoumis","given":"Constantinos","non-dropping-particle":"","parse-names":false,"suffix":""}],"container-title":"Journal of Entrepreneurship, Business and Economics","id":"ITEM-14","issue":"1","issued":{"date-parts":[["2020"]]},"page":"1-14","title":"The Impact Factor of Costs to the Tax System","type":"article-journal","volume":"8"},"uris":["http://www.mendeley.com/documents/?uuid=cb7320b7-5b19-447c-a9a2-89a8c8e0dce1"]},{"id":"ITEM-15","itemData":{"abstract":"This paper analyzes the length principles which followed by the authorities and scrutinizes which plausible improvements could happen to them. Thence, this thesis is about the arm’s length principle and the fixed length principle. The arm’s length principle is one of the basic principles which used from the companies of controlled transactions for transfer pricing purposes. Consequently, the fixed length principle enhances the control of global tax revenues. A mathematical view of this approach is determined in this paper","author":[{"dropping-particle":"","family":"Challoumis","given":"Constantinos","non-dropping-particle":"","parse-names":false,"suffix":""}],"container-title":"World Scientific News","id":"ITEM-15","issue":"2019","issued":{"date-parts":[["2019"]]},"page":"207-217","title":"The arm's length principle and the fixed length principle economic analysis","type":"article-journal","volume":"115"},"uris":["http://www.mendeley.com/documents/?uuid=aab63751-8112-3be9-8ac2-1da8e70ad614"]},{"id":"ITEM-16","itemData":{"author":[{"dropping-particle":"","family":"Challoumis","given":"Constantinos","non-dropping-particle":"","parse-names":false,"suffix":""}],"container-title":"IJBESAR (International Journal of Business and Economic Sciences Applied Research)","id":"ITEM-16","issue":"2","issued":{"date-parts":[["2021"]]},"page":"58-67","title":"Index of the cycle of money - The case of Greece","type":"article-journal","volume":"14"},"uris":["http://www.mendeley.com/documents/?uuid=cd8662b2-b287-49d8-9192-8a72081e5d7f"]}],"mendeley":{"formattedCitation":"(Challoumis, 2018d, 2019c, 2019a, 2020c, 2021c, 2021f, 2022e, 2022d, 2023ac, 2023b, 2023j, 2023r, 2023m, 2023u, 2024b, 2024f)","plainTextFormattedCitation":"(Challoumis, 2018d, 2019c, 2019a, 2020c, 2021c, 2021f, 2022e, 2022d, 2023ac, 2023b, 2023j, 2023r, 2023m, 2023u, 2024b, 2024f)","previouslyFormattedCitation":"(Challoumis, 2018d, 2019c, 2019a, 2020c, 2021c, 2021f, 2022e, 2022d, 2023ac, 2023b, 2023j, 2023r, 2023m, 2023u, 2024b, 2024f)"},"properties":{"noteIndex":0},"schema":"https://github.com/citation-style-language/schema/raw/master/csl-citation.json"}</w:instrText>
      </w:r>
      <w:r w:rsidR="009D6EEA">
        <w:fldChar w:fldCharType="separate"/>
      </w:r>
      <w:r w:rsidR="009D6EEA" w:rsidRPr="009D6EEA">
        <w:rPr>
          <w:noProof/>
        </w:rPr>
        <w:t>(Challoumis, 2018d, 2019c, 2019a, 2020c, 2021c, 2021f, 2022e, 2022d, 2023ac, 2023b, 2023j, 2023r, 2023m, 2023u, 2024b, 2024f)</w:t>
      </w:r>
      <w:r w:rsidR="009D6EEA">
        <w:fldChar w:fldCharType="end"/>
      </w:r>
      <w:r w:rsidR="00984C8D">
        <w:t xml:space="preserve">. </w:t>
      </w:r>
      <w:r>
        <w:t>These periodic inspections of companies involved in controlled transactions are critical to the arm's length principle. The cost-sharing is then determined by conducting periodic checks on tested parties.</w:t>
      </w:r>
      <w:r w:rsidR="00984C8D">
        <w:t xml:space="preserve"> </w:t>
      </w:r>
      <w:r w:rsidR="006A2A1F">
        <w:t>Moreover,</w:t>
      </w:r>
      <w:r w:rsidR="00984C8D">
        <w:t xml:space="preserve"> should be notified that the companies of controlled transactions and the same time the inspections of tax authorities are done under the condition of proportional adjustments. The interpretation of the condition of the proportional adjustments is that the companies </w:t>
      </w:r>
      <w:r>
        <w:t>that</w:t>
      </w:r>
      <w:r w:rsidR="00984C8D">
        <w:t xml:space="preserve"> </w:t>
      </w:r>
      <w:r w:rsidR="00984C8D">
        <w:lastRenderedPageBreak/>
        <w:t xml:space="preserve">participate in controlled transactions many times don’t have the appropriate data and uncontrolled transactions of similar circumstances to compare and therefore they </w:t>
      </w:r>
      <w:r>
        <w:t>proportionally adjust their data</w:t>
      </w:r>
      <w:r w:rsidR="009D6EEA">
        <w:t xml:space="preserve"> </w:t>
      </w:r>
      <w:r w:rsidR="009D6EEA">
        <w:fldChar w:fldCharType="begin" w:fldLock="1"/>
      </w:r>
      <w:r w:rsidR="009D6EEA">
        <w:instrText>ADDIN CSL_CITATION {"citationItems":[{"id":"ITEM-1","itemData":{"author":[{"dropping-particle":"","family":"Challoumis","given":"Constantinos","non-dropping-particle":"","parse-names":false,"suffix":""}],"container-title":"Montenegrin Journal for Social Sciences","id":"ITEM-1","issue":"1-2","issued":{"date-parts":[["2021"]]},"page":"41-57","title":"Index of the cycle of money - The case of Montenegro","type":"article-journal","volume":"5"},"uris":["http://www.mendeley.com/documents/?uuid=b9ed3bd1-fbcc-4722-94f4-afa589cc485c"]},{"id":"ITEM-2","itemData":{"author":[{"dropping-particle":"","family":"Challoumis","given":"Constantinos","non-dropping-particle":"","parse-names":false,"suffix":""}],"container-title":"Economy and Banks","id":"ITEM-2","issue":"2","issued":{"date-parts":[["2021"]]},"title":"Index of the cycle of money - The case of Belarus","type":"article-journal"},"uris":["http://www.mendeley.com/documents/?uuid=97ae2a76-5a2e-4267-ac8c-4fe1ec653942"]},{"id":"ITEM-3","itemData":{"DOI":"10.25103/ijbesar.131.07","ISSN":"24080098","author":[{"dropping-particle":"","family":"Challoumis","given":"Constantinos","non-dropping-particle":"","parse-names":false,"suffix":""}],"container-title":"International Journal of Business and Economic Sciences Applied Research","id":"ITEM-3","issue":"1","issued":{"date-parts":[["2020"]]},"page":"69-78","title":"The Impact Factor of Education on the Public Sector – The Case of the U.S.","type":"article-journal","volume":"13"},"uris":["http://www.mendeley.com/documents/?uuid=d340ab17-906d-4449-8d5b-8bdfee3005d9"]},{"id":"ITEM-4","itemData":{"author":[{"dropping-particle":"","family":"Challoumis","given":"Constantinos","non-dropping-particle":"","parse-names":false,"suffix":""}],"container-title":"International Journal of Culture and Modernity","id":"ITEM-4","issue":"2023","issued":{"date-parts":[["2023"]]},"page":"22-33","title":"Chain of the Cycle of Money with and without Minimum Mixed Savings (Three-Dimensional Approach)","type":"article-journal","volume":"33"},"uris":["http://www.mendeley.com/documents/?uuid=51a10c1d-91f8-44ea-bcc9-5c8ea32bd76b"]},{"id":"ITEM-5","itemData":{"author":[{"dropping-particle":"","family":"Challoumis","given":"Constantinos","non-dropping-particle":"","parse-names":false,"suffix":""}],"container-title":"Acta Universitatis Bohemiae Meridionalis","id":"ITEM-5","issue":"2","issued":{"date-parts":[["2021"]]},"page":"49-74","title":"Chain of cycle of money","type":"article-journal","volume":"24"},"uris":["http://www.mendeley.com/documents/?uuid=579f013d-2335-4359-9c5f-742f409ceed0"]},{"id":"ITEM-6","itemData":{"author":[{"dropping-particle":"","family":"Challoumis","given":"Constantinos","non-dropping-particle":"","parse-names":false,"suffix":""}],"container-title":"Economic Alternatives","id":"ITEM-6","issued":{"date-parts":[["2024"]]},"title":"THE INFLATION ACCORDING TO THE CYCLE OF MONEY (C.M.)","type":"article-journal"},"uris":["http://www.mendeley.com/documents/?uuid=13d4c43b-7ca8-4ea3-ab10-1e74f312de5c"]},{"id":"ITEM-7","itemData":{"DOI":"https://doi.org/10.2478/eb-2019-0016","ISSN":"2256-0394","abstract":"The paper deals with the methods used by companies for controlled transactions in services. The author performs an analysis of the ways a company that takes part in controlled transactions of transfer pricing can tackle tax issues using an adequate tax method. Services should comply with the arm’s length principle. Therefore, the best method rule and the comparability analysis have a critical role in the arm’s length principle of services. The paper compares the results of transfer pricing services with the transfer pricing of goods to conclude the similarities. The object of the paper is to determine the importance of the application of fixed length principle, meaning the application of additional tax for controlled transactions and declined tax for uncontrolled transactions. Therefore, this scrutiny showed that the unstable tax environments force enterprises to proceed to controlled transactions.","author":[{"dropping-particle":"","family":"Challoumis","given":"Constantinos","non-dropping-particle":"","parse-names":false,"suffix":""}],"container-title":"Economics and Business","id":"ITEM-7","issue":"1","issued":{"date-parts":[["2019"]]},"page":"222 - 232","title":"Transfer Pricing Methods for Services and the Policy of Fixed Length Principle","type":"article-journal","volume":"33"},"uris":["http://www.mendeley.com/documents/?uuid=2b74b7ae-c00a-3ff1-a43c-96a741330f27"]},{"id":"ITEM-8","itemData":{"author":[{"dropping-particle":"","family":"Challoumis","given":"Constantinos","non-dropping-particle":"","parse-names":false,"suffix":""}],"container-title":"Open Journal for Research in Economics","id":"ITEM-8","issue":"1","issued":{"date-parts":[["2024"]]},"title":"Velocity of the escaped savings and financial liquidity on maximum mixed savings","type":"article-journal","volume":"7"},"uris":["http://www.mendeley.com/documents/?uuid=abcd4046-2c5b-481d-9304-028b97c80e5c"]},{"id":"ITEM-9","itemData":{"author":[{"dropping-particle":"","family":"Challoumis","given":"Constantinos","non-dropping-particle":"","parse-names":false,"suffix":""}],"container-title":"International Journal on Economics, Finance and Sustainable Development","id":"ITEM-9","issue":"6","issued":{"date-parts":[["2023"]]},"page":"124-133","title":"The Velocities of Maximum Escaped Savings with than of Financial Liquidity to the Case of Mixed Savings","type":"article-journal","volume":"5"},"uris":["http://www.mendeley.com/documents/?uuid=83bc9fb6-f475-49de-8ebe-a5010615e2f9"]},{"id":"ITEM-10","itemData":{"author":[{"dropping-particle":"","family":"Constantinos Challoumis","given":"","non-dropping-particle":"","parse-names":false,"suffix":""}],"container-title":"Innovations and Contemporary Trends in Business &amp; Economics","id":"ITEM-10","issued":{"date-parts":[["2024"]]},"title":"Approach on arm's length principle and fix length principle mathematical representations","type":"chapter"},"uris":["http://www.mendeley.com/documents/?uuid=30b32b70-7cad-43ee-b32b-410728f5ec20"]},{"id":"ITEM-11","itemData":{"author":[{"dropping-particle":"","family":"Challoumis","given":"Constantinos","non-dropping-particle":"","parse-names":false,"suffix":""}],"container-title":"Research Papers in Economics and Finance","id":"ITEM-11","issue":"1","issued":{"date-parts":[["2023"]]},"title":"Currency rate of the CM (Cycle of Money)","type":"article-journal","volume":"7"},"uris":["http://www.mendeley.com/documents/?uuid=445fe1ba-4861-4136-8cf6-756d773aa6b6"]},{"id":"ITEM-12","itemData":{"author":[{"dropping-particle":"","family":"Challoumis","given":"Constantinos","non-dropping-particle":"","parse-names":false,"suffix":""}],"container-title":"Pindus Journal of Culture, Literature, and ELT","id":"ITEM-12","issue":"10","issued":{"date-parts":[["2023"]]},"page":"19-28","title":"Comparisons of the Cycle of Money Based on Enforcement and Escaped Savings","type":"article-journal","volume":"3"},"uris":["http://www.mendeley.com/documents/?uuid=53f3241c-203f-431a-9694-9307c4f7ab0b"]}],"mendeley":{"formattedCitation":"(Challoumis, 2019g, 2020d, 2021e, 2021b, 2021a, 2023e, 2023f, 2023ab, 2023h, 2024e, 2024d; Constantinos Challoumis, 2024)","plainTextFormattedCitation":"(Challoumis, 2019g, 2020d, 2021e, 2021b, 2021a, 2023e, 2023f, 2023ab, 2023h, 2024e, 2024d; Constantinos Challoumis, 2024)","previouslyFormattedCitation":"(Challoumis, 2019g, 2020d, 2021e, 2021b, 2021a, 2023e, 2023f, 2023ab, 2023h, 2024e, 2024d; Constantinos Challoumis, 2024)"},"properties":{"noteIndex":0},"schema":"https://github.com/citation-style-language/schema/raw/master/csl-citation.json"}</w:instrText>
      </w:r>
      <w:r w:rsidR="009D6EEA">
        <w:fldChar w:fldCharType="separate"/>
      </w:r>
      <w:r w:rsidR="009D6EEA" w:rsidRPr="009D6EEA">
        <w:rPr>
          <w:noProof/>
        </w:rPr>
        <w:t>(Challoumis, 2019g, 2020d, 2021e, 2021b, 2021a, 2023e, 2023f, 2023ab, 2023h, 2024e, 2024d; Constantinos Challoumis, 2024)</w:t>
      </w:r>
      <w:r w:rsidR="009D6EEA">
        <w:fldChar w:fldCharType="end"/>
      </w:r>
      <w:r w:rsidR="00984C8D">
        <w:t xml:space="preserve">. This means that if the companies </w:t>
      </w:r>
      <w:r>
        <w:t>that</w:t>
      </w:r>
      <w:r w:rsidR="00984C8D">
        <w:t xml:space="preserve"> are tested parties conclude that the profits and losses of companies from uncontrolled transactions are much higher or much fewer</w:t>
      </w:r>
      <w:r w:rsidR="006A2A1F">
        <w:t>,</w:t>
      </w:r>
      <w:r w:rsidR="00984C8D">
        <w:t xml:space="preserve"> </w:t>
      </w:r>
      <w:r w:rsidR="006A2A1F">
        <w:t>and after that</w:t>
      </w:r>
      <w:r w:rsidR="00984C8D">
        <w:t xml:space="preserve"> they make </w:t>
      </w:r>
      <w:r>
        <w:t xml:space="preserve">a </w:t>
      </w:r>
      <w:r w:rsidR="00984C8D">
        <w:t>proportional analogy to compare them with their data</w:t>
      </w:r>
      <w:r w:rsidR="009D6EEA">
        <w:t xml:space="preserve"> </w:t>
      </w:r>
      <w:r w:rsidR="009D6EEA">
        <w:fldChar w:fldCharType="begin" w:fldLock="1"/>
      </w:r>
      <w:r w:rsidR="009D6EEA">
        <w:instrText>ADDIN CSL_CITATION {"citationItems":[{"id":"ITEM-1","itemData":{"DOI":"10.1086/tpe.13.20061866","ISSN":"0892-8649","abstract":"In this paper, we present evidence of the likely impact of cigarette tax hikes on consumers, governments, and producers. We show that 100 percent of a tax hike is passed onto consumers in the form of higher prices. Using both state and individual-level data, we find a cigarette demand of -0.30 elasticity to -0.50, with elasticities 1.75 times the long-term short-term values. We demonstrate that cigarette taxes have become much more regressive over time as smoking rates among the highest income groups have fallen sharply. One reason for this drop is the large decline in smoking rates for the most educated. Given their ability to shift tax increases onto consumers, tobacco companies bear little of the burden of a tax. We estimate that for every $1 raised in tax revenues, cigarette companies lose only 8 cents in before-tax profits. Using daily stock prices, e conduct an event study examining how new information about litiga tion and settlement of state Medicaid cases against cigarette manufactur ers changed the value of the firm. Events that increased the plaintiffs' chances in state Medicaid cases had a statistically significant negative impact on firm value while movements toward settlement in greatly creased stock prices. Finally, we consider the external costs of smoking. some argue that current tax revenues exceed the external costs Although of smoking, these estimates typically exclude the costs of maternal smok ing. We show that the costs of maternal smoking range from $0.42-$0.72 per pack which makes the question of whether these costs should be considered external critical in any cost-benefit analysis.","author":[{"dropping-particle":"","family":"Evans","given":"William N.","non-dropping-particle":"","parse-names":false,"suffix":""},{"dropping-particle":"","family":"Ringel","given":"Jeanne S.","non-dropping-particle":"","parse-names":false,"suffix":""},{"dropping-particle":"","family":"Stech","given":"Diana","non-dropping-particle":"","parse-names":false,"suffix":""}],"container-title":"Tax Policy and the Economy","id":"ITEM-1","issued":{"date-parts":[["1999"]]},"title":"Tobacco Taxes and Public Policy to Discourage Smoking","type":"article-journal","volume":"13"},"uris":["http://www.mendeley.com/documents/?uuid=3e5ec084-2c7b-301d-a50a-cb3613a634ec"]},{"id":"ITEM-2","itemData":{"DOI":"10.35945/gb.2019.07.004","ISSN":"2449-2396","abstract":"Economic policy related decisions are very complex in their logical structure because of the multilateral interdependence of the Social-economic events. Every decision includes some kind of vagueness. It is either clear or vague whether economic-political situation and results of discussed actions are analyzed well. The logical structure of decisions is the objective of the theory of the decision making. This theory helps to assess and overcome the problems in economic policy related decision making. Economic policy is oriented on achieving the predefined goals. These goals are determined by economic situation and many normative attitudes (basic values). There is an agreement on one part of the goals among the majority of developed countries. The laws and resolutions issued by different governments often include economic indicators, including: significant economic growth, high level of employment, appreciating the currency as an indicator of stability of prices, foreign economic relations, foreign economic equilibrium or fair distribution of the income and the property. This is the partial list of the goals, but it is enough to demonstrate that goals are the only means (instruments) for realizing all-inclusive norms of basic public values.","author":[{"dropping-particle":"","family":"GVELESIANI","given":"REVAZ","non-dropping-particle":"","parse-names":false,"suffix":""}],"container-title":"Globalization and Business","id":"ITEM-2","issue":"7","issued":{"date-parts":[["2019"]]},"title":"COMPATIBILITY PROBLEM OF BASIC PUBLIC VALUES WITH ECONOMIC POLICY GOALS AND DECISIONS FOR THEIR IMPLEMENTATION","type":"article-journal","volume":"4"},"uris":["http://www.mendeley.com/documents/?uuid=2f0153f2-1e74-3a29-8d9a-176059d4a3f8"]},{"id":"ITEM-3","itemData":{"DOI":"10.5267/j.msl.2018.12.008","ISSN":"19239343","abstract":"This paper examines the relationship between public policy and education management in Indonesia by looking at various indicators influencing the public policy and the education management. For education management, factors like education achievement at elementary &amp; higher school, college enrolment, job market in both local and international levels and social development are observed. Public policy is studied through work force development, higher education, brain drain, public safety, constitutional convention, job approval, legislature and operation policies. To examine this association, a survey questionnaire is developed and presented on various respondents regarding public policy and education management. A sample of 327 respondents is empirically examined and it is observed that the effect of work force development on elementary school achievement was significant while the effect of brain drains, job approval and legislature were crucial for the presented indicators of education management. Further studies can be conducted while considering other aspects of both public policy and education.","author":[{"dropping-particle":"","family":"Andriansyah","given":"Andriansyah","non-dropping-particle":"","parse-names":false,"suffix":""},{"dropping-particle":"","family":"Taufiqurokhman","given":"Taufiqurokhman","non-dropping-particle":"","parse-names":false,"suffix":""},{"dropping-particle":"","family":"Wekke","given":"Ismail Suardi","non-dropping-particle":"","parse-names":false,"suffix":""}],"container-title":"Management Science Letters","id":"ITEM-3","issue":"3","issued":{"date-parts":[["2019"]]},"title":"Responsiveness of public policy and its impact on education management: An empirical assessment from Indonesia","type":"article-journal","volume":"9"},"uris":["http://www.mendeley.com/documents/?uuid=5f110a41-b640-3dfe-846b-7fb54ec97bbd"]},{"id":"ITEM-4","itemData":{"DOI":"10.1016/j.retrec.2020.100905","ISSN":"07398859","abstract":"World population forecasted growth, ageing population, rising urbanization and congestion levels carry several challenges inside urban mobility systems. The digitalization megatrend is reshaping lives worldwide while at the same time “Usership” is thriving along collaborative consumption. “Mobility-as-a-Service” (“MaaS”) emerges as a potential mobility disruption, in this new mobility ecosystem. Inspired in Finland's “MaaS” ecosystem, this paper aims to propose a “Mobility as a Service Public Policy Framework” with a two-stage approach. First structuring the “MaaS” concept, looking for the core features, its relations, that leads to its reconceptualization and a topology proposal. Secondly, a public policy framework is proposed, considering the policy instruments, indicative group of stakeholders responsible and the different urban mobility management decision levels. The authors argue that is fundamental to understand the nature of decisions which are intimately connected with the Urban Mobility system, to design and implement a coherent and effective policy framework, where the policy tools chosen to materialize policy decisions regarding “MaaS” should first consider the identification of the founding pillars of the “MaaS” concept, guiding the process of policy design accordingly. If “MaaS” is considered a Mobility Management tool, it can constitute an opportunity to redefine public transport and its financing.","author":[{"dropping-particle":"","family":"Lajas","given":"Renata","non-dropping-particle":"","parse-names":false,"suffix":""},{"dropping-particle":"","family":"Macário","given":"Rosário","non-dropping-particle":"","parse-names":false,"suffix":""}],"container-title":"Research in Transportation Economics","id":"ITEM-4","issued":{"date-parts":[["2020"]]},"title":"Public policy framework supporting “mobility-as-a-service” implementation","type":"article-journal","volume":"83"},"uris":["http://www.mendeley.com/documents/?uuid=6b730d6c-c8ec-391d-987c-bbf037a1bbde"]},{"id":"ITEM-5","itemData":{"DOI":"10.1016/j.envsci.2019.12.008","ISSN":"18736416","abstract":"This article provides an overview of how systematic review (SR) methods have been used to evaluate public policy. It argues that these methods can be applied to the evaluation of environmental public policy, but that certain challenges need to be addressed in order to fulfil the SR methods potential. The article reflects upon two methodological challenges confronting systematic reviewers: how data from the articles should be synthesised; and how to take societal contexts into account. Analysing how these challenges have been addressed in practice contributes to the theoretical discussion about the usefulness of different synthesis methods, and the role of context. Three lessons are drawn as to how systematic review methods can become useful when applied to the evaluation of environmental public policy, namely: (1) to anticipate the heterogeneity in the literature from the beginning – in terms of both research design and operationalisation of key concepts; (2) to consider the purpose of the review when deciding whether to take a single- or multi-context approach; and (3) to be methodologically innovative when applying the systematic review methods to complex policies.","author":[{"dropping-particle":"","family":"Miljand","given":"Matilda","non-dropping-particle":"","parse-names":false,"suffix":""}],"container-title":"Environmental Science and Policy","id":"ITEM-5","issued":{"date-parts":[["2020"]]},"title":"Using systematic review methods to evaluate environmental public policy: methodological challenges and potential usefulness","type":"article-journal","volume":"105"},"uris":["http://www.mendeley.com/documents/?uuid=799203ca-8b1a-3207-a949-6ad2c3d41b6d"]},{"id":"ITEM-6","itemData":{"DOI":"10.5755/J01.PPAA.18.3.24726","ISSN":"20292872","abstract":"Over the last decade, the development of cognitive and behavioural sciences has determined the diffusion of the concept and methodology of behavioural insights into social sciences, including the governance sphere. Behavioural teams worldwide participate in developing and implementing the strategies at various levels of governance organisation. The aim of this study is to investigate the institutionalisation process of behavioural insights into public policy. The study has identified the agentive determinants of the institutionalisation efficiency that include: the competence level of public servants, their motivation level, resistance to change and the nature of feedback. It is argued that the approval level of using behavioural insights by civil servants is a prerequisite for their intrinsic motivation, which has a positive effect on the efficiency of institutionalisation of behavioural insights in public policy. The survey has revealed the most approved directions for using behavioural techniques in public policy in Ukraine.","author":[{"dropping-particle":"","family":"Khadzhyradieva","given":"Svitlana","non-dropping-particle":"","parse-names":false,"suffix":""},{"dropping-particle":"","family":"Hrechko","given":"Tetiana","non-dropping-particle":"","parse-names":false,"suffix":""},{"dropping-particle":"","family":"Smalskys","given":"Vainius","non-dropping-particle":"","parse-names":false,"suffix":""}],"container-title":"Public Policy and Administration","id":"ITEM-6","issue":"3","issued":{"date-parts":[["2019"]]},"title":"Institutionalisation of behavioural insights in public policy","type":"article","volume":"18"},"uris":["http://www.mendeley.com/documents/?uuid=3a78386b-87e8-3368-8fed-d9cd4ce9f9d7"]},{"id":"ITEM-7","itemData":{"DOI":"10.1080/09614524.2015.1016481","ISSN":"13649213","abstract":"Traditional food supply systems, like municipal public markets (MPM), are in crisis. Nevertheless, MPMs continue to demonstrate importance in the lives of the cities. In this article we discuss the case of Mexico City and the importance of the public markets for its neighbourhoods. We present the results of two research projects, completed in Mexico City at two different historical times and interpreted longitudinally. The results demonstrate the importance of socio-economic relationships for MPM's survival and potential. The article concludes with public policy recommendations to permit conservation, given the MPM's importance for the city's social cohesion.","author":[{"dropping-particle":"","family":"Torres Salcido","given":"Gerardo","non-dropping-particle":"","parse-names":false,"suffix":""},{"dropping-particle":"","family":"Roble Pensado Leglise","given":"Mario","non-dropping-particle":"del","parse-names":false,"suffix":""},{"dropping-particle":"","family":"Smolski","given":"Andrew","non-dropping-particle":"","parse-names":false,"suffix":""}],"container-title":"Development in Practice","id":"ITEM-7","issue":"3","issued":{"date-parts":[["2015"]]},"title":"Food distribution's socio-economic relationships and public policy: Mexico City's municipal public markets","type":"article-journal","volume":"25"},"uris":["http://www.mendeley.com/documents/?uuid=77b8edc5-8d38-3ef8-97c7-2b6f2ccdce5f"]},{"id":"ITEM-8","itemData":{"DOI":"10.1515/npf-2019-0049","ISSN":"21543348","abstract":"This paper examines advocacy, agenda-setting and the public policy focus of private philanthropic foundations in Australia. While concerns have been raised regarding advocacy and public policy influence of foundations in countries such as the U.S., less is understood on this issue in other contexts. Interviews were conducted with 11 managers and trustees of 10 Private Ancillary Funds (PAFs) in late 2014. Analysis of publicly available data on the participating PAFs was then undertaken comparing PAF information available at the time of the interviews with that available approximately five years later, to consider any changes in the public communication of their agendas. Findings reveal PAFs' agendas were largely consistent with public policy but may vary in the approaches to address social causes. Further, a preference for privacy indicates the PAF sector may be characterised as 'quiet philanthropy' rather than having a visible public presence. As such, PAFs' advocacy focused on promoting philanthropy, rather than altering or influencing public policy. Our main contention is that the conceptions of advocacy in structured philanthropy are dominated by the obvious, the outliers and the noisy. Our contribution to the philanthropic literature is a more nuanced and broader discussion of how advocacy and agenda-setting occurs and is understood in the mainstream.","author":[{"dropping-particle":"","family":"Williamson","given":"Alexandra Kate","non-dropping-particle":"","parse-names":false,"suffix":""},{"dropping-particle":"","family":"Luke","given":"Belinda","non-dropping-particle":"","parse-names":false,"suffix":""}],"container-title":"Nonprofit Policy Forum","id":"ITEM-8","issue":"1","issued":{"date-parts":[["2020"]]},"title":"Agenda-setting and Public Policy in Private Foundations","type":"article-journal","volume":"11"},"uris":["http://www.mendeley.com/documents/?uuid=4b2c9ccb-2d0e-3dc8-b28c-60fd95bee924"]},{"id":"ITEM-9","itemData":{"DOI":"10.1016/j.repolx.2020.100008","ISSN":"25901451","abstract":"We develop a framework for analyzing the role of public agencies in making high-risk investments along the innovation chain and ask how both the risks of innovation and the rewards can be shared between public and private actors. We build on a new approach to innovation policy, which we call market co-creating and shaping, in which the state is not only fixing markets but actively co-creating them. We also look at the legal institutions that determine (and are determined by) the relationship between public and private actors. Policy measures to institutionalize rewards in a way that promote more equitable public–private partnerships can be understood as attempts to mediate asymmetric power relations, tensions and conflicting views among multiple stakeholders, as well as building a shared notion of the value and legitimacy of the role of the state. We conclude by outlining analytical and policy implications and identifying avenues for future research.","author":[{"dropping-particle":"","family":"Laplane","given":"Andrea","non-dropping-particle":"","parse-names":false,"suffix":""},{"dropping-particle":"","family":"Mazzucato","given":"Mariana","non-dropping-particle":"","parse-names":false,"suffix":""}],"container-title":"Research Policy: X","id":"ITEM-9","issued":{"date-parts":[["2020"]]},"title":"Socializing the risks and rewards of public investments: Economic, policy, and legal issues","type":"article-journal","volume":"2"},"uris":["http://www.mendeley.com/documents/?uuid=efdb989a-4cab-3d52-8e22-36eda32574dc"]}],"mendeley":{"formattedCitation":"(Andriansyah et al., 2019; Evans et al., 1999; GVELESIANI, 2019; Khadzhyradieva et al., 2019; Lajas &amp; Macário, 2020; Laplane &amp; Mazzucato, 2020; Miljand, 2020; Torres Salcido et al., 2015; Williamson &amp; Luke, 2020)","plainTextFormattedCitation":"(Andriansyah et al., 2019; Evans et al., 1999; GVELESIANI, 2019; Khadzhyradieva et al., 2019; Lajas &amp; Macário, 2020; Laplane &amp; Mazzucato, 2020; Miljand, 2020; Torres Salcido et al., 2015; Williamson &amp; Luke, 2020)","previouslyFormattedCitation":"(Andriansyah et al., 2019; Evans et al., 1999; GVELESIANI, 2019; Khadzhyradieva et al., 2019; Lajas &amp; Macário, 2020; Laplane &amp; Mazzucato, 2020; Miljand, 2020; Torres Salcido et al., 2015; Williamson &amp; Luke, 2020)"},"properties":{"noteIndex":0},"schema":"https://github.com/citation-style-language/schema/raw/master/csl-citation.json"}</w:instrText>
      </w:r>
      <w:r w:rsidR="009D6EEA">
        <w:fldChar w:fldCharType="separate"/>
      </w:r>
      <w:r w:rsidR="009D6EEA" w:rsidRPr="009D6EEA">
        <w:rPr>
          <w:noProof/>
        </w:rPr>
        <w:t>(Andriansyah et al., 2019; Evans et al., 1999; GVELESIANI, 2019; Khadzhyradieva et al., 2019; Lajas &amp; Macário, 2020; Laplane &amp; Mazzucato, 2020; Miljand, 2020; Torres Salcido et al., 2015; Williamson &amp; Luke, 2020)</w:t>
      </w:r>
      <w:r w:rsidR="009D6EEA">
        <w:fldChar w:fldCharType="end"/>
      </w:r>
      <w:r w:rsidR="00984C8D">
        <w:t>.</w:t>
      </w:r>
      <w:r w:rsidR="009D6EEA">
        <w:t xml:space="preserve"> </w:t>
      </w:r>
      <w:r w:rsidR="00984C8D">
        <w:t xml:space="preserve">The production of goods or services creates profits and costs </w:t>
      </w:r>
      <w:r>
        <w:t>for</w:t>
      </w:r>
      <w:r w:rsidR="00984C8D">
        <w:t xml:space="preserve"> the companies:</w:t>
      </w:r>
    </w:p>
    <w:p w14:paraId="7E1507BC" w14:textId="77777777" w:rsidR="00984C8D" w:rsidRDefault="00984C8D" w:rsidP="00984C8D">
      <w:pPr>
        <w:tabs>
          <w:tab w:val="left" w:pos="5330"/>
        </w:tabs>
        <w:rPr>
          <w:rFonts w:eastAsiaTheme="minorEastAsia"/>
        </w:rPr>
      </w:pPr>
      <m:oMath>
        <m:r>
          <w:rPr>
            <w:rFonts w:ascii="Cambria Math" w:hAnsi="Cambria Math"/>
          </w:rPr>
          <m:t>u=</m:t>
        </m:r>
        <m:r>
          <w:rPr>
            <w:rFonts w:ascii="Cambria Math" w:hAnsi="Cambria Math"/>
            <w:lang w:val="el-GR"/>
          </w:rPr>
          <m:t>s</m:t>
        </m:r>
        <m:r>
          <w:rPr>
            <w:rFonts w:ascii="Cambria Math" w:hAnsi="Cambria Math"/>
          </w:rPr>
          <m:t>(zf+</m:t>
        </m:r>
        <m:acc>
          <m:accPr>
            <m:chr m:val="̃"/>
            <m:ctrlPr>
              <w:rPr>
                <w:rFonts w:ascii="Cambria Math" w:hAnsi="Cambria Math"/>
                <w:i/>
              </w:rPr>
            </m:ctrlPr>
          </m:accPr>
          <m:e>
            <m:r>
              <w:rPr>
                <w:rFonts w:ascii="Cambria Math" w:hAnsi="Cambria Math"/>
              </w:rPr>
              <m:t>z</m:t>
            </m:r>
          </m:e>
        </m:acc>
        <m:r>
          <w:rPr>
            <w:rFonts w:ascii="Cambria Math" w:hAnsi="Cambria Math"/>
          </w:rPr>
          <m:t>d</m:t>
        </m:r>
      </m:oMath>
      <w:r>
        <w:rPr>
          <w:rFonts w:eastAsiaTheme="minorEastAsia"/>
        </w:rPr>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(1)</w:t>
      </w:r>
    </w:p>
    <w:p w14:paraId="07D6B5C8" w14:textId="77777777" w:rsidR="00984C8D" w:rsidRDefault="00984C8D" w:rsidP="00984C8D">
      <w:pPr>
        <w:tabs>
          <w:tab w:val="left" w:pos="5330"/>
        </w:tabs>
        <w:rPr>
          <w:rFonts w:eastAsiaTheme="minorEastAsia"/>
        </w:rPr>
      </w:pPr>
      <m:oMath>
        <m:r>
          <w:rPr>
            <w:rFonts w:ascii="Cambria Math" w:eastAsiaTheme="minorEastAsia" w:hAnsi="Cambria Math"/>
            <w:lang w:val="el-GR"/>
          </w:rPr>
          <m:t>z</m:t>
        </m:r>
        <m:r>
          <w:rPr>
            <w:rFonts w:ascii="Cambria Math" w:eastAsiaTheme="minorEastAsia" w:hAnsi="Cambria Math"/>
          </w:rPr>
          <m:t>=|</m:t>
        </m:r>
        <m:acc>
          <m:accPr>
            <m:chr m:val="̃"/>
            <m:ctrlPr>
              <w:rPr>
                <w:rFonts w:ascii="Cambria Math" w:hAnsi="Cambria Math"/>
                <w:i/>
              </w:rPr>
            </m:ctrlPr>
          </m:accPr>
          <m:e>
            <m:r>
              <w:rPr>
                <w:rFonts w:ascii="Cambria Math" w:hAnsi="Cambria Math"/>
                <w:lang w:val="el-GR"/>
              </w:rPr>
              <m:t>z</m:t>
            </m:r>
          </m:e>
        </m:acc>
        <m:r>
          <w:rPr>
            <w:rFonts w:ascii="Cambria Math" w:hAnsi="Cambria Math"/>
          </w:rPr>
          <m:t>-1|</m:t>
        </m:r>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(2)</w:t>
      </w:r>
    </w:p>
    <w:p w14:paraId="53085E25" w14:textId="304D9FDB" w:rsidR="00984C8D" w:rsidRDefault="00984C8D" w:rsidP="00984C8D">
      <w:pPr>
        <w:pStyle w:val="SSRNnormal"/>
      </w:pPr>
      <w:r>
        <w:t xml:space="preserve">The symbol </w:t>
      </w:r>
      <m:oMath>
        <m:r>
          <w:rPr>
            <w:rFonts w:ascii="Cambria Math" w:hAnsi="Cambria Math"/>
          </w:rPr>
          <m:t>u</m:t>
        </m:r>
      </m:oMath>
      <w:r>
        <w:rPr>
          <w:rFonts w:eastAsiaTheme="minorEastAsia"/>
        </w:rPr>
        <w:t xml:space="preserve"> is about the impact factor of the comparability analysis which has any method to the</w:t>
      </w:r>
      <m:oMath>
        <m:r>
          <w:rPr>
            <w:rFonts w:ascii="Cambria Math" w:eastAsiaTheme="minorEastAsia" w:hAnsi="Cambria Math"/>
          </w:rPr>
          <m:t xml:space="preserve"> </m:t>
        </m:r>
        <m:r>
          <w:rPr>
            <w:rFonts w:ascii="Cambria Math" w:hAnsi="Cambria Math"/>
            <w:lang w:val="el-GR"/>
          </w:rPr>
          <m:t>s</m:t>
        </m:r>
      </m:oMath>
      <w:r>
        <w:t>. The symbol z is a coefficient which takes values between 0 and 1</w:t>
      </w:r>
      <w:r w:rsidR="009D6EEA">
        <w:t xml:space="preserve"> </w:t>
      </w:r>
      <w:r w:rsidR="009D6EEA">
        <w:fldChar w:fldCharType="begin" w:fldLock="1"/>
      </w:r>
      <w:r w:rsidR="009D6EEA">
        <w:instrText>ADDIN CSL_CITATION {"citationItems":[{"id":"ITEM-1","itemData":{"author":[{"dropping-particle":"","family":"Challoumis","given":"Constantinos","non-dropping-particle":"","parse-names":false,"suffix":""}],"container-title":"International Journal of Business Diplomacy and Economy","id":"ITEM-1","issue":"6","issued":{"date-parts":[["2023"]]},"page":"92-101","title":"Utility of Cycle of Money with and without the Escaping Savings","type":"article-journal","volume":"2"},"uris":["http://www.mendeley.com/documents/?uuid=5a17da61-0fd8-439c-adc1-0a4b72e9def5"]},{"id":"ITEM-2","itemData":{"author":[{"dropping-particle":"","family":"Challoumis","given":"Constantinos","non-dropping-particle":"","parse-names":false,"suffix":""}],"container-title":"European Multidisciplinary Journal of Modern Science","id":"ITEM-2","issue":"2023","issued":{"date-parts":[["2023"]]},"page":"1-16","title":"Chain of the Cycle of Money with and without Maximum and Minimum Mixed Savings","type":"article-journal","volume":"23"},"uris":["http://www.mendeley.com/documents/?uuid=78a48a35-a513-42ae-a5d6-5507bbfbfd0f"]},{"id":"ITEM-3","itemData":{"author":[{"dropping-particle":"","family":"Challoumis","given":"Constantinos","non-dropping-particle":"","parse-names":false,"suffix":""}],"container-title":"Journal of Entrepreneurship, Business and Economics","id":"ITEM-3","issue":"1","issued":{"date-parts":[["2023"]]},"page":"102-133","title":"Index of the cycle of money - The case of Canada","type":"article-journal","volume":"11"},"uris":["http://www.mendeley.com/documents/?uuid=730f5650-34dd-4603-9896-196f712cff8c"]},{"id":"ITEM-4","itemData":{"author":[{"dropping-particle":"","family":"Challoumis","given":"Constantinos","non-dropping-particle":"","parse-names":false,"suffix":""}],"container-title":"Economics &amp; Law","id":"ITEM-4","issued":{"date-parts":[["2023"]]},"title":"Comparisons of the cycle of money with and without the mixed savings","type":"article-journal"},"uris":["http://www.mendeley.com/documents/?uuid=16ee86a7-db4c-4637-928b-eb212ec2866d"]},{"id":"ITEM-5","itemData":{"author":[{"dropping-particle":"","family":"Challoumis","given":"Constantinos","non-dropping-particle":"","parse-names":false,"suffix":""}],"container-title":"Open Journal for Research in Economics","id":"ITEM-5","issue":"2","issued":{"date-parts":[["2024"]]},"title":"Velocity of the escaped savings and financial liquidity on mixed savings","type":"article-journal","volume":"7"},"uris":["http://www.mendeley.com/documents/?uuid=b0935ff4-e3b1-4ac8-84f0-7f080231471b"]},{"id":"ITEM-6","itemData":{"author":[{"dropping-particle":"","family":"Challoumis","given":"Constantinos","non-dropping-particle":"","parse-names":false,"suffix":""}],"container-title":"Middle European Scientific Bulletin","id":"ITEM-6","issue":"2023","issued":{"date-parts":[["2023"]]},"page":"57-66","title":"The Velocity of Escaped Savings and Velocity of Financial Liquidity","type":"article-journal","volume":"41"},"uris":["http://www.mendeley.com/documents/?uuid=27b691ff-28b7-409f-986d-eb16566e3715"]},{"id":"ITEM-7","itemData":{"author":[{"dropping-particle":"","family":"Challoumis","given":"Constantinos","non-dropping-particle":"","parse-names":false,"suffix":""}],"container-title":"International Journal of Social Science Research and Review (IJSSRR)","id":"ITEM-7","issue":"8","issued":{"date-parts":[["2023"]]},"title":"The Theory of Cycle of Money - How Do Principles of the Authorities on Public Policy, Taxes, and Controlled Transactions Affect the Economy and Society?","type":"article-journal","volume":"6"},"uris":["http://www.mendeley.com/documents/?uuid=60b388e4-9089-4cc9-ab98-cc4e6900d624"]},{"id":"ITEM-8","itemData":{"author":[{"dropping-particle":"","family":"Constantinos Challoumis","given":"","non-dropping-particle":"","parse-names":false,"suffix":""}],"container-title":"International Journal of Finance and Business Management (IJFBM)Vol. 2No. 1, 2023","id":"ITEM-8","issue":"1","issued":{"date-parts":[["2023"]]},"page":"15-28","title":"Elements of the Theory of Cycle of Money without Enforcement Savings","type":"article-journal","volume":"2"},"uris":["http://www.mendeley.com/documents/?uuid=c1dfef3b-4d12-42c3-9c99-32f57753374a"]},{"id":"ITEM-9","itemData":{"DOI":"336.76 336.741.236.5","author":[{"dropping-particle":"","family":"Challoumis","given":"Constantinos","non-dropping-particle":"","parse-names":false,"suffix":""}],"container-title":"Ekonomski signali","id":"ITEM-9","issue":"1","issued":{"date-parts":[["2019"]]},"page":"89-99","title":"The cycle of money with and without the escaped savings","type":"article-journal","volume":"14"},"uris":["http://www.mendeley.com/documents/?uuid=b96ca455-b09f-4001-8faa-dc0c9d361589"]},{"id":"ITEM-10","itemData":{"author":[{"dropping-particle":"","family":"Challoumis","given":"Constantinos","non-dropping-particle":"","parse-names":false,"suffix":""}],"container-title":"Actual Problems of Economics","id":"ITEM-10","issued":{"date-parts":[["2023"]]},"title":"Index of the cyclee of money - The case of Ukraine from 1992 to 2020","type":"article-journal"},"uris":["http://www.mendeley.com/documents/?uuid=1daf980a-dbea-4584-9ab2-15c7be533a07"]},{"id":"ITEM-11","itemData":{"author":[{"dropping-particle":"","family":"Challoumis","given":"Constantinos","non-dropping-particle":"","parse-names":false,"suffix":""}],"container-title":"Pindus Journal of Culture, Literature, and ELT","id":"ITEM-11","issue":"10","issued":{"date-parts":[["2023"]]},"page":"29-39","title":"The Cycle of Money with and Without the Minimum Mixed Savings","type":"article-journal","volume":"3"},"uris":["http://www.mendeley.com/documents/?uuid=6b3eeafa-e7da-4061-af4e-28be93a46de8"]},{"id":"ITEM-12","itemData":{"author":[{"dropping-particle":"","family":"Challoumis","given":"Constantinos","non-dropping-particle":"","parse-names":false,"suffix":""}],"container-title":"Eastern European Journal of Regional Economics","id":"ITEM-12","issue":"1","issued":{"date-parts":[["2022"]]},"page":"77-89","title":"Index of the cycle of money - The case of Moldova","type":"article-journal","volume":"8"},"uris":["http://www.mendeley.com/documents/?uuid=f4cb8383-6312-45a0-9de3-705f00a52dbb"]},{"id":"ITEM-13","itemData":{"DOI":"10.5937/ekonsig1802001c","ISSN":"1452-4457","author":[{"dropping-particle":"","family":"Challoumis","given":"Constantinos","non-dropping-particle":"","parse-names":false,"suffix":""}],"container-title":"Ekonomski signali","id":"ITEM-13","issue":"2","issued":{"date-parts":[["2018"]]},"page":"1-14","title":"Analysis of the velocities of escaped savings with that of financial liquidity","type":"article-journal","volume":"13"},"uris":["http://www.mendeley.com/documents/?uuid=0c2b1901-4798-38e6-8b29-3cd75dc1852a"]},{"id":"ITEM-14","itemData":{"abstract":"The Keynesian theory aims at issues that authorities are able to interact with the economy, to face crises and to administrate dysfunctions on the economy. The Keynesian theory uses the demand side effect and not the supply side effect on the economy. The government and the authorities provide financial liquidity solutions. But, the basic issue that authorities try to solve in that case is the inflation effect. Therefore, for this reason, is preferred by certain authorities the supply side effect economic solutions. Thence, according to the theory of cycle of money is plausible to proceed to with a different approach as there the authorities can use the supply side or the demand side according to their willingness. The theory of cycle of money can include any theory to its application, as maximizes the utility in any economic view making to each case the appropriate adjustments. The choice of policies is subject to the special needs and circumstances of the bank system, and of governments. In this paper is given an overall view of the Keynesian theory and of the theory of cycle of money. This study is about the way that the Keynesian approach could be included in the theory of the cycle of money.","author":[{"dropping-particle":"","family":"Challoumis","given":"Constantinos","non-dropping-particle":"","parse-names":false,"suffix":""}],"container-title":"Hyperion Economic Journal","id":"ITEM-14","issue":"3","issued":{"date-parts":[["2018"]]},"page":"3-8","title":"The Keynesian Theory and the Theory of Cycle of Money","type":"article-journal","volume":"6"},"uris":["http://www.mendeley.com/documents/?uuid=9ba63179-aaba-46fb-94fb-d8788f096151"]},{"id":"ITEM-15","itemData":{"author":[{"dropping-particle":"","family":"Challoumis","given":"Constantinos","non-dropping-particle":"","parse-names":false,"suffix":""}],"container-title":"Academic Journal of Digital Economics and Stability","id":"ITEM-15","issue":"2023","issued":{"date-parts":[["2023"]]},"page":"43-65","title":"Chain of the Cycle of Money with and Without Maximum Mixed Savings (Three-Dimensional Approach)","type":"article-journal","volume":"34"},"uris":["http://www.mendeley.com/documents/?uuid=d5fba992-c6da-48c7-8577-c050ee32d135"]}],"mendeley":{"formattedCitation":"(Challoumis, 2018e, 2018a, 2019b, 2022c, 2023ad, 2023d, 2023g, 2023y, 2023af, 2023p, 2023aa, 2023c, 2023n, 2024g; Constantinos Challoumis, 2023)","plainTextFormattedCitation":"(Challoumis, 2018e, 2018a, 2019b, 2022c, 2023ad, 2023d, 2023g, 2023y, 2023af, 2023p, 2023aa, 2023c, 2023n, 2024g; Constantinos Challoumis, 2023)","previouslyFormattedCitation":"(Challoumis, 2018e, 2018a, 2019b, 2022c, 2023ad, 2023d, 2023g, 2023y, 2023af, 2023p, 2023aa, 2023c, 2023n, 2024g; Constantinos Challoumis, 2023)"},"properties":{"noteIndex":0},"schema":"https://github.com/citation-style-language/schema/raw/master/csl-citation.json"}</w:instrText>
      </w:r>
      <w:r w:rsidR="009D6EEA">
        <w:fldChar w:fldCharType="separate"/>
      </w:r>
      <w:r w:rsidR="009D6EEA" w:rsidRPr="009D6EEA">
        <w:rPr>
          <w:noProof/>
        </w:rPr>
        <w:t>(Challoumis, 2018e, 2018a, 2019b, 2022c, 2023ad, 2023d, 2023g, 2023y, 2023af, 2023p, 2023aa, 2023c, 2023n, 2024g; Constantinos Challoumis, 2023)</w:t>
      </w:r>
      <w:r w:rsidR="009D6EEA">
        <w:fldChar w:fldCharType="end"/>
      </w:r>
      <w:r>
        <w:t xml:space="preserve">. What value could </w:t>
      </w:r>
      <w:r w:rsidR="001A0248">
        <w:t>be received</w:t>
      </w:r>
      <w:r>
        <w:t xml:space="preserve"> is determined by the influence of the method (using the best method rule) </w:t>
      </w:r>
      <w:r w:rsidR="001A0248">
        <w:t>on</w:t>
      </w:r>
      <w:r>
        <w:t xml:space="preserve"> the</w:t>
      </w:r>
      <m:oMath>
        <m:r>
          <w:rPr>
            <w:rFonts w:ascii="Cambria Math" w:hAnsi="Cambria Math"/>
          </w:rPr>
          <m:t xml:space="preserve"> </m:t>
        </m:r>
        <m:r>
          <w:rPr>
            <w:rFonts w:ascii="Cambria Math" w:hAnsi="Cambria Math"/>
            <w:lang w:val="el-GR"/>
          </w:rPr>
          <m:t>s</m:t>
        </m:r>
      </m:oMath>
      <w:r>
        <w:rPr>
          <w:rFonts w:eastAsiaTheme="minorEastAsia"/>
        </w:rPr>
        <w:t xml:space="preserve">. The symbol of </w:t>
      </w:r>
      <m:oMath>
        <m:r>
          <w:rPr>
            <w:rFonts w:ascii="Cambria Math" w:hAnsi="Cambria Math"/>
          </w:rPr>
          <m:t>f</m:t>
        </m:r>
      </m:oMath>
      <w:r>
        <w:rPr>
          <w:rFonts w:eastAsiaTheme="minorEastAsia"/>
        </w:rPr>
        <w:t xml:space="preserve"> is about the cost which comes up from the production of goods, and the symbol of </w:t>
      </w:r>
      <m:oMath>
        <m:r>
          <w:rPr>
            <w:rFonts w:ascii="Cambria Math" w:hAnsi="Cambria Math"/>
          </w:rPr>
          <m:t>d</m:t>
        </m:r>
      </m:oMath>
      <w:r>
        <w:rPr>
          <w:rFonts w:eastAsiaTheme="minorEastAsia"/>
        </w:rPr>
        <w:t xml:space="preserve"> is about the cost which comes from the distribution of the goods.</w:t>
      </w:r>
    </w:p>
    <w:p w14:paraId="03109CE5" w14:textId="1AF59C52" w:rsidR="00984C8D" w:rsidRDefault="00984C8D" w:rsidP="00984C8D">
      <w:pPr>
        <w:pStyle w:val="SSRNnormal"/>
      </w:pPr>
      <w:r>
        <w:t xml:space="preserve">According to </w:t>
      </w:r>
      <w:r w:rsidR="008F2E95">
        <w:t>E</w:t>
      </w:r>
      <w:r>
        <w:t>q</w:t>
      </w:r>
      <w:r w:rsidR="008F2E95">
        <w:t>.</w:t>
      </w:r>
      <w:r>
        <w:t xml:space="preserve"> (1) to (6) is plausible to determine the following equations:</w:t>
      </w:r>
    </w:p>
    <w:p w14:paraId="2F5F9C70" w14:textId="77777777" w:rsidR="00984C8D" w:rsidRDefault="00000000" w:rsidP="00984C8D">
      <w:pPr>
        <w:rPr>
          <w:rFonts w:eastAsiaTheme="minorEastAsia"/>
        </w:rPr>
      </w:pPr>
      <m:oMath>
        <m:sSub>
          <m:sSubPr>
            <m:ctrlPr>
              <w:rPr>
                <w:rFonts w:ascii="Cambria Math" w:eastAsiaTheme="minorEastAsia" w:hAnsi="Cambria Math"/>
                <w:i/>
                <w:lang w:val="el-GR"/>
              </w:rPr>
            </m:ctrlPr>
          </m:sSubPr>
          <m:e>
            <m:r>
              <w:rPr>
                <w:rFonts w:ascii="Cambria Math" w:eastAsiaTheme="minorEastAsia" w:hAnsi="Cambria Math"/>
                <w:lang w:val="el-GR"/>
              </w:rPr>
              <m:t>u</m:t>
            </m:r>
          </m:e>
          <m:sub>
            <m:r>
              <w:rPr>
                <w:rFonts w:ascii="Cambria Math" w:eastAsiaTheme="minorEastAsia" w:hAnsi="Cambria Math"/>
                <w:lang w:val="el-GR"/>
              </w:rPr>
              <m:t>c</m:t>
            </m:r>
          </m:sub>
        </m:sSub>
        <m:r>
          <w:rPr>
            <w:rFonts w:ascii="Cambria Math" w:eastAsiaTheme="minorEastAsia" w:hAnsi="Cambria Math"/>
          </w:rPr>
          <m:t>=</m:t>
        </m:r>
        <m:r>
          <w:rPr>
            <w:rFonts w:ascii="Cambria Math" w:hAnsi="Cambria Math"/>
          </w:rPr>
          <m:t>zf+</m:t>
        </m:r>
        <m:acc>
          <m:accPr>
            <m:chr m:val="̃"/>
            <m:ctrlPr>
              <w:rPr>
                <w:rFonts w:ascii="Cambria Math" w:hAnsi="Cambria Math"/>
                <w:i/>
              </w:rPr>
            </m:ctrlPr>
          </m:accPr>
          <m:e>
            <m:r>
              <w:rPr>
                <w:rFonts w:ascii="Cambria Math" w:hAnsi="Cambria Math"/>
              </w:rPr>
              <m:t>z</m:t>
            </m:r>
          </m:e>
        </m:acc>
        <m:r>
          <w:rPr>
            <w:rFonts w:ascii="Cambria Math" w:hAnsi="Cambria Math"/>
          </w:rPr>
          <m:t>d</m:t>
        </m:r>
      </m:oMath>
      <w:r w:rsidR="00984C8D">
        <w:rPr>
          <w:rFonts w:eastAsiaTheme="minorEastAsia"/>
          <w:i/>
        </w:rPr>
        <w:tab/>
      </w:r>
      <w:r w:rsidR="00984C8D">
        <w:rPr>
          <w:rFonts w:eastAsiaTheme="minorEastAsia"/>
        </w:rPr>
        <w:tab/>
      </w:r>
      <w:r w:rsidR="00984C8D">
        <w:rPr>
          <w:rFonts w:eastAsiaTheme="minorEastAsia"/>
        </w:rPr>
        <w:tab/>
      </w:r>
      <w:r w:rsidR="00984C8D">
        <w:rPr>
          <w:rFonts w:eastAsiaTheme="minorEastAsia"/>
        </w:rPr>
        <w:tab/>
      </w:r>
      <w:r w:rsidR="00984C8D">
        <w:rPr>
          <w:rFonts w:eastAsiaTheme="minorEastAsia"/>
        </w:rPr>
        <w:tab/>
      </w:r>
      <w:r w:rsidR="00984C8D">
        <w:rPr>
          <w:rFonts w:eastAsiaTheme="minorEastAsia"/>
        </w:rPr>
        <w:tab/>
      </w:r>
      <w:r w:rsidR="00984C8D">
        <w:rPr>
          <w:rFonts w:eastAsiaTheme="minorEastAsia"/>
        </w:rPr>
        <w:tab/>
      </w:r>
      <w:r w:rsidR="00984C8D">
        <w:rPr>
          <w:rFonts w:eastAsiaTheme="minorEastAsia"/>
        </w:rPr>
        <w:tab/>
      </w:r>
      <w:r w:rsidR="00984C8D">
        <w:rPr>
          <w:rFonts w:eastAsiaTheme="minorEastAsia"/>
        </w:rPr>
        <w:tab/>
      </w:r>
      <w:r w:rsidR="00984C8D">
        <w:rPr>
          <w:rFonts w:eastAsiaTheme="minorEastAsia"/>
        </w:rPr>
        <w:tab/>
      </w:r>
      <w:r w:rsidR="00984C8D">
        <w:rPr>
          <w:rFonts w:eastAsiaTheme="minorEastAsia"/>
        </w:rPr>
        <w:tab/>
        <w:t>(3)</w:t>
      </w:r>
    </w:p>
    <w:p w14:paraId="05B5EAAA" w14:textId="77777777" w:rsidR="00984C8D" w:rsidRDefault="00984C8D" w:rsidP="00984C8D">
      <w:pPr>
        <w:pStyle w:val="SSRNnormal"/>
        <w:rPr>
          <w:rFonts w:eastAsiaTheme="minorEastAsia"/>
        </w:rPr>
      </w:pPr>
      <w:r>
        <w:rPr>
          <w:rFonts w:eastAsiaTheme="minorEastAsia"/>
        </w:rPr>
        <w:t>b= (p-</w:t>
      </w:r>
      <m:oMath>
        <m:sSub>
          <m:sSubPr>
            <m:ctrlPr>
              <w:rPr>
                <w:rFonts w:ascii="Cambria Math" w:eastAsiaTheme="minorEastAsia" w:hAnsi="Cambria Math"/>
                <w:i/>
                <w:lang w:val="el-GR"/>
              </w:rPr>
            </m:ctrlPr>
          </m:sSubPr>
          <m:e>
            <m:r>
              <w:rPr>
                <w:rFonts w:ascii="Cambria Math" w:eastAsiaTheme="minorEastAsia" w:hAnsi="Cambria Math"/>
                <w:lang w:val="el-GR"/>
              </w:rPr>
              <m:t>u</m:t>
            </m:r>
          </m:e>
          <m:sub>
            <m:r>
              <w:rPr>
                <w:rFonts w:ascii="Cambria Math" w:eastAsiaTheme="minorEastAsia" w:hAnsi="Cambria Math"/>
                <w:lang w:val="el-GR"/>
              </w:rPr>
              <m:t>c</m:t>
            </m:r>
          </m:sub>
        </m:sSub>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1</m:t>
            </m:r>
          </m:sub>
        </m:sSub>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(4)</w:t>
      </w:r>
    </w:p>
    <w:p w14:paraId="2EF8287E" w14:textId="6D0598A3" w:rsidR="00984C8D" w:rsidRDefault="00984C8D" w:rsidP="00984C8D">
      <w:pPr>
        <w:pStyle w:val="SSRNnormal"/>
        <w:rPr>
          <w:rFonts w:eastAsiaTheme="minorEastAsia"/>
        </w:rPr>
      </w:pPr>
      <w:r>
        <w:rPr>
          <w:rFonts w:eastAsiaTheme="minorEastAsia"/>
        </w:rPr>
        <w:t xml:space="preserve">The symbol of </w:t>
      </w:r>
      <m:oMath>
        <m:r>
          <w:rPr>
            <w:rFonts w:ascii="Cambria Math" w:eastAsiaTheme="minorEastAsia" w:hAnsi="Cambria Math"/>
          </w:rPr>
          <m:t>b</m:t>
        </m:r>
      </m:oMath>
      <w:r>
        <w:rPr>
          <w:rFonts w:eastAsiaTheme="minorEastAsia"/>
        </w:rPr>
        <w:t xml:space="preserve"> in the prior equation is about the amount of taxes that should </w:t>
      </w:r>
      <w:r w:rsidR="001A0248">
        <w:rPr>
          <w:rFonts w:eastAsiaTheme="minorEastAsia"/>
        </w:rPr>
        <w:t>be paid to</w:t>
      </w:r>
      <w:r>
        <w:rPr>
          <w:rFonts w:eastAsiaTheme="minorEastAsia"/>
        </w:rPr>
        <w:t xml:space="preserve"> the companies of controlled transactions in the application of the arm’s length principle</w:t>
      </w:r>
      <w:r w:rsidR="009D6EEA">
        <w:rPr>
          <w:rFonts w:eastAsiaTheme="minorEastAsia"/>
        </w:rPr>
        <w:t xml:space="preserve"> </w:t>
      </w:r>
      <w:r w:rsidR="009D6EEA">
        <w:rPr>
          <w:rFonts w:eastAsiaTheme="minorEastAsia"/>
        </w:rPr>
        <w:fldChar w:fldCharType="begin" w:fldLock="1"/>
      </w:r>
      <w:r w:rsidR="009D6EEA">
        <w:rPr>
          <w:rFonts w:eastAsiaTheme="minorEastAsia"/>
        </w:rPr>
        <w:instrText>ADDIN CSL_CITATION {"citationItems":[{"id":"ITEM-1","itemData":{"author":[{"dropping-particle":"","family":"Challoumis","given":"Constantinos","non-dropping-particle":"","parse-names":false,"suffix":""}],"container-title":"GOSPODARKA I INNOWACJE","id":"ITEM-1","issue":"1","issued":{"date-parts":[["2023"]]},"page":"269-277","title":"Utility of cycle of money with and without the enforcement savings","type":"article-journal","volume":"36"},"uris":["http://www.mendeley.com/documents/?uuid=b1de3d04-b909-48b6-b1ce-74226f6daeec"]},{"id":"ITEM-2","itemData":{"author":[{"dropping-particle":"","family":"Challoumis","given":"Constantinos","non-dropping-particle":"","parse-names":false,"suffix":""}],"container-title":"Cogito","id":"ITEM-2","issue":"4","issued":{"date-parts":[["2023"]]},"page":"206-216","title":"FROM SAVINGS TO ESCAPE AND ENFORCEMENT SAVINGS","type":"article-journal","volume":"XV"},"uris":["http://www.mendeley.com/documents/?uuid=82689c76-eae8-48be-9f8a-0f422051a4e1"]},{"id":"ITEM-3","itemData":{"author":[{"dropping-particle":"","family":"Challoumis","given":"Constantinos","non-dropping-particle":"","parse-names":false,"suffix":""}],"container-title":"Open Journal for Research in Economics","id":"ITEM-3","issue":"2","issued":{"date-parts":[["2023"]]},"page":"41-50","title":"The cycle of money with mixed savings","type":"article-journal","volume":"6"},"uris":["http://www.mendeley.com/documents/?uuid=e5fae31c-a1e8-4c99-a713-ef0e5e66be04"]},{"id":"ITEM-4","itemData":{"author":[{"dropping-particle":"","family":"Challoumis","given":"Constantinos","non-dropping-particle":"","parse-names":false,"suffix":""}],"container-title":"Economic Alternatives","id":"ITEM-4","issued":{"date-parts":[["2024"]]},"title":"The impact factor of Tangibles and Intangibles of controlled transactions on economic performance","type":"article-journal"},"uris":["http://www.mendeley.com/documents/?uuid=13fb3ef4-7e5c-45fa-8952-fecab9a5bb0d"]},{"id":"ITEM-5","itemData":{"author":[{"dropping-particle":"","family":"Challoumis","given":"Constantinos","non-dropping-particle":"","parse-names":false,"suffix":""}],"container-title":"Chiang Mai University Journal of Economics","id":"ITEM-5","issue":"2","issued":{"date-parts":[["2021"]]},"page":"1-14","title":"Index of the cycle of money - The case of Thailand","type":"article-journal","volume":"25"},"uris":["http://www.mendeley.com/documents/?uuid=9b29af37-c341-4b06-9d42-fc9c63ddb7fe"]},{"id":"ITEM-6","itemData":{"ISBN":"9788680593722","author":[{"dropping-particle":"","family":"Challoumis","given":"Constantinos","non-dropping-particle":"","parse-names":false,"suffix":""}],"container-title":"Complex System Research Centre","id":"ITEM-6","issued":{"date-parts":[["2021"]]},"title":"The cycle of money with and without the enforcement savings","type":"article-journal"},"uris":["http://www.mendeley.com/documents/?uuid=79dbd23c-d4bc-48d6-9867-d6edc45e18ba"]},{"id":"ITEM-7","itemData":{"DOI":"https://doi.org/10.26397/eai1584040927","author":[{"dropping-particle":"","family":"Challoumis","given":"Constantinos","non-dropping-particle":"","parse-names":false,"suffix":""}],"container-title":"Economics and Applied Informatics","id":"ITEM-7","issue":"3","issued":{"date-parts":[["2018"]]},"page":"149-153","title":"Identification of Significant Economic Risks to the International Controlled Transactions","type":"article-journal","volume":"2018"},"uris":["http://www.mendeley.com/documents/?uuid=40a92a0b-9592-4772-94f0-114788ccb013"]},{"id":"ITEM-8","itemData":{"DOI":"10.2478/eoik-2018-0003","abstract":"This paper aims to the analysis of the most common methods of controlled transactions, and the interpretation of the arm’s length principle under the view of the tax income comparison between countries with high and low tax rates. Moreover, the factors of comparability scrutinized with a mathematical approach which shows how the tax factors interact within the countries’ economies in the frame of a global view.","author":[{"dropping-particle":"","family":"Challoumis","given":"Constantinos","non-dropping-particle":"","parse-names":false,"suffix":""}],"container-title":"Economics","id":"ITEM-8","issue":"1","issued":{"date-parts":[["2018"]]},"page":"33-43","title":"Methods of Controlled Transactions and the Behavior of Companies According to the Public and Tax Policy","type":"article-journal","volume":"6"},"uris":["http://www.mendeley.com/documents/?uuid=d591dfbb-026d-4bac-924d-a853ac161b03"]},{"id":"ITEM-9","itemData":{"author":[{"dropping-particle":"","family":"Challoumis","given":"Constantinos","non-dropping-particle":"","parse-names":false,"suffix":""}],"container-title":"Complex System Research Centre","id":"ITEM-9","issued":{"date-parts":[["2020"]]},"page":"195-200","title":"Impact Factor of Capital to the Economy and Tax System","type":"article-journal","volume":"2020"},"uris":["http://www.mendeley.com/documents/?uuid=7caedc4f-eb97-41b7-b99d-f9869556898b"]},{"id":"ITEM-10","itemData":{"author":[{"dropping-particle":"","family":"Challoumis","given":"Constantinos","non-dropping-particle":"","parse-names":false,"suffix":""}],"container-title":"Middle European Scientific Bulletin","id":"ITEM-10","issue":"2023","issued":{"date-parts":[["2023"]]},"page":"47-56","title":"The Cycle of Money with and Without the Maximum and Minimum Mixed Savings","type":"article-journal","volume":"41"},"uris":["http://www.mendeley.com/documents/?uuid=b5066f62-aef4-4d50-8e8b-c09def359eea"]},{"id":"ITEM-11","itemData":{"author":[{"dropping-particle":"","family":"Challoumis","given":"Constantinos","non-dropping-particle":"","parse-names":false,"suffix":""}],"container-title":"Journal Association SEPIKE","id":"ITEM-11","issue":"25","issued":{"date-parts":[["2019"]]},"page":"12-21","title":"The Issue of Utility of Cycle of Money","type":"article-journal","volume":"2019"},"uris":["http://www.mendeley.com/documents/?uuid=dbaa8ce1-4afc-4ab8-9117-6af77d2b8fc1"]},{"id":"ITEM-12","itemData":{"DOI":"10.2139/ssrn.3154753","author":[{"dropping-particle":"","family":"Challoumis","given":"Constantinos","non-dropping-particle":"","parse-names":false,"suffix":""}],"container-title":"Complex System Research Centre","id":"ITEM-12","issued":{"date-parts":[["2022"]]},"title":"Impact Factor of the Rest Rewarding Taxes","type":"chapter"},"uris":["http://www.mendeley.com/documents/?uuid=08006ad8-4c46-4622-9436-46cd36f08695"]},{"id":"ITEM-13","itemData":{"author":[{"dropping-particle":"","family":"Challoumis","given":"Constantinos","non-dropping-particle":"","parse-names":false,"suffix":""}],"container-title":"Actual Problems of Economics","id":"ITEM-13","issue":"9","issued":{"date-parts":[["2021"]]},"page":"102-111","title":"Index of the cycle of money - The case of Ukraine","type":"article-journal","volume":"243"},"uris":["http://www.mendeley.com/documents/?uuid=8c68df57-e4a3-4c58-9c77-4e5fdda0ab42"]},{"id":"ITEM-14","itemData":{"DOI":"10.3726/b21202","author":[{"dropping-particle":"","family":"Challoumis","given":"Constantinos","non-dropping-particle":"","parse-names":false,"suffix":""}],"chapter-number":"A comparis","container-title":"Social and Economic Studies within the Framework of Emerging Global Developments, Volume - 4, V. Kaya","id":"ITEM-14","issued":{"date-parts":[["2023"]]},"page":"41-56","title":"A comparison of the velocities of minimum escaped savings and financial liquidity","type":"chapter"},"uris":["http://www.mendeley.com/documents/?uuid=30d17eec-1030-4788-9048-328dc871f2b0"]}],"mendeley":{"formattedCitation":"(Challoumis, 2018c, 2018b, 2019d, 2020b, 2021i, 2021h, 2021k, 2022b, 2023a, 2023i, 2023z, 2023ae, 2023w, 2024c)","plainTextFormattedCitation":"(Challoumis, 2018c, 2018b, 2019d, 2020b, 2021i, 2021h, 2021k, 2022b, 2023a, 2023i, 2023z, 2023ae, 2023w, 2024c)","previouslyFormattedCitation":"(Challoumis, 2018c, 2018b, 2019d, 2020b, 2021i, 2021h, 2021k, 2022b, 2023a, 2023i, 2023z, 2023ae, 2023w, 2024c)"},"properties":{"noteIndex":0},"schema":"https://github.com/citation-style-language/schema/raw/master/csl-citation.json"}</w:instrText>
      </w:r>
      <w:r w:rsidR="009D6EEA">
        <w:rPr>
          <w:rFonts w:eastAsiaTheme="minorEastAsia"/>
        </w:rPr>
        <w:fldChar w:fldCharType="separate"/>
      </w:r>
      <w:r w:rsidR="009D6EEA" w:rsidRPr="009D6EEA">
        <w:rPr>
          <w:rFonts w:eastAsiaTheme="minorEastAsia"/>
          <w:noProof/>
        </w:rPr>
        <w:t>(Challoumis, 2018c, 2018b, 2019d, 2020b, 2021i, 2021h, 2021k, 2022b, 2023a, 2023i, 2023z, 2023ae, 2023w, 2024c)</w:t>
      </w:r>
      <w:r w:rsidR="009D6EEA">
        <w:rPr>
          <w:rFonts w:eastAsiaTheme="minorEastAsia"/>
        </w:rPr>
        <w:fldChar w:fldCharType="end"/>
      </w:r>
      <w:r>
        <w:rPr>
          <w:rFonts w:eastAsiaTheme="minorEastAsia"/>
        </w:rPr>
        <w:t xml:space="preserve">. The </w:t>
      </w:r>
      <m:oMath>
        <m:sSub>
          <m:sSubPr>
            <m:ctrlPr>
              <w:rPr>
                <w:rFonts w:ascii="Cambria Math" w:eastAsiaTheme="minorEastAsia" w:hAnsi="Cambria Math"/>
                <w:i/>
                <w:lang w:val="el-GR"/>
              </w:rPr>
            </m:ctrlPr>
          </m:sSubPr>
          <m:e>
            <m:r>
              <w:rPr>
                <w:rFonts w:ascii="Cambria Math" w:eastAsiaTheme="minorEastAsia" w:hAnsi="Cambria Math"/>
                <w:lang w:val="el-GR"/>
              </w:rPr>
              <m:t>u</m:t>
            </m:r>
          </m:e>
          <m:sub>
            <m:r>
              <w:rPr>
                <w:rFonts w:ascii="Cambria Math" w:eastAsiaTheme="minorEastAsia" w:hAnsi="Cambria Math"/>
                <w:lang w:val="el-GR"/>
              </w:rPr>
              <m:t>c</m:t>
            </m:r>
          </m:sub>
        </m:sSub>
      </m:oMath>
      <w:r>
        <w:rPr>
          <w:rFonts w:eastAsiaTheme="minorEastAsia"/>
        </w:rPr>
        <w:t xml:space="preserve"> is the amount of tax obligations that can </w:t>
      </w:r>
      <w:r w:rsidR="001A0248">
        <w:rPr>
          <w:rFonts w:eastAsiaTheme="minorEastAsia"/>
        </w:rPr>
        <w:t>be avoide</w:t>
      </w:r>
      <w:r>
        <w:rPr>
          <w:rFonts w:eastAsiaTheme="minorEastAsia"/>
        </w:rPr>
        <w:t>d through the allocations of profits and losses</w:t>
      </w:r>
      <w:r w:rsidR="009D6EEA">
        <w:rPr>
          <w:rFonts w:eastAsiaTheme="minorEastAsia"/>
        </w:rPr>
        <w:t xml:space="preserve"> </w:t>
      </w:r>
      <w:r w:rsidR="009D6EEA">
        <w:rPr>
          <w:rFonts w:eastAsiaTheme="minorEastAsia"/>
        </w:rPr>
        <w:fldChar w:fldCharType="begin" w:fldLock="1"/>
      </w:r>
      <w:r w:rsidR="009D6EEA">
        <w:rPr>
          <w:rFonts w:eastAsiaTheme="minorEastAsia"/>
        </w:rPr>
        <w:instrText>ADDIN CSL_CITATION {"citationItems":[{"id":"ITEM-1","itemData":{"DOI":"10.3390/pr8111374","ISSN":"22279717","abstract":"The objective of this article is to review how Artificial Intelligence (AI) tools have helped the process of formulating agricultural public policies in the world. For this, a search process was carried out in the main scientific repositories finding different publications. The findings have shown that, first, the most commonly used AI tools are agent-based models, cellular automata, and genetic algorithms. Secondly, they have been utilized to determine land and water use, and agricultural production. In the end, the large usefulness that AI tools have in the process of formulating agricultural public policies is concluded.","author":[{"dropping-particle":"","family":"Sánchez","given":"Juan M.","non-dropping-particle":"","parse-names":false,"suffix":""},{"dropping-particle":"","family":"Rodríguez","given":"Juan P.","non-dropping-particle":"","parse-names":false,"suffix":""},{"dropping-particle":"","family":"Espitia","given":"Helbert E.","non-dropping-particle":"","parse-names":false,"suffix":""}],"container-title":"Processes","id":"ITEM-1","issue":"11","issued":{"date-parts":[["2020"]]},"title":"Review of artificial intelligence applied in decision-making processes in agricultural public policy","type":"article","volume":"8"},"uris":["http://www.mendeley.com/documents/?uuid=2d402133-dddc-38ca-8fd9-0418b1204ca4"]},{"id":"ITEM-2","itemData":{"DOI":"10.1332/174426418X15245020185055","ISSN":"17442656","abstract":"Purpose: The purpose of this paper is to explore the perceived usefulness of a diabetes economic model as a potential tool for aiding evidence-based decision making in public health. Methods: Fifteen interviews and two focus groups, with four participants in each, were conducted with health and management professionals working in one public health department in a local council. Data were analysed using inductive thematic analysis to generate four themes. Findings The findings reflect attitudes and beliefs of a diverse staff group situated in public health services. Findings: reveal that the economic model was perceived as useful and participants reported positive views regarding the principles of economic modelling for decision making. However, it was potentially problematic in practice due to organisational constraints linked to limited resources, restricted budgets and local priorities. Differences in institutional logics of staff working across public health and local government departments were identified as a potential barrier to the use of the model in practice. Discussion: The findings highlight anticipated challenges that public health practice and policy decision-makers could face if they selected to implement an economic modelling approach to fulfil their evidence needs. Previous studies have revealed that healthcare decision makers would find evidence around the economic impacts of public health interventions useful, but this information was not always available in the format required. This paper provides insights into how public health staff perceive economic modelling, and explores how they use this type of evidence when making public health practice and policy decisions.","author":[{"dropping-particle":"","family":"Grove","given":"Amy","non-dropping-particle":"","parse-names":false,"suffix":""},{"dropping-particle":"","family":"Sanders","given":"Tom","non-dropping-particle":"","parse-names":false,"suffix":""},{"dropping-particle":"","family":"Salway","given":"Sarah","non-dropping-particle":"","parse-names":false,"suffix":""},{"dropping-particle":"","family":"Goyder","given":"Elizabeth","non-dropping-particle":"","parse-names":false,"suffix":""},{"dropping-particle":"","family":"Hampshaw","given":"Susan","non-dropping-particle":"","parse-names":false,"suffix":""}],"container-title":"Evidence and Policy","id":"ITEM-2","issue":"4","issued":{"date-parts":[["2020"]]},"title":"A qualitative exploration of evidence-based decision making in public health practice and policy: The perceived usefulness of a diabetes economic model for decision makers","type":"article-journal","volume":"15"},"uris":["http://www.mendeley.com/documents/?uuid=f6cdf33e-53b6-3538-9d50-126c2c4b5606"]},{"id":"ITEM-3","itemData":{"DOI":"10.1007/s00146-020-01028-5","ISSN":"14355655","abstract":"Public policies are designed to have an impact on particular societies, yet policy-oriented computer models and simulations often focus more on articulating the policies to be applied than on realistically rendering the cultural dynamics of the target society. This approach can lead to policy assessments that ignore crucial social contextual factors. For example, by leaving out distinctive moral and normative dimensions of cultural contexts in artificial societies, estimations of downstream policy effectiveness fail to account for dynamics that are fundamental in human life and central to many public policy challenges. In this paper, we supply evidence that incorporating morally salient dimensions of a culture is critically important for producing relevant and accurate evaluations of social policy when using multi-agent artificial intelligence models and simulations.","author":[{"dropping-particle":"","family":"Diallo","given":"Saikou Y.","non-dropping-particle":"","parse-names":false,"suffix":""},{"dropping-particle":"","family":"Shults","given":"F. Le Ron","non-dropping-particle":"","parse-names":false,"suffix":""},{"dropping-particle":"","family":"Wildman","given":"Wesley J.","non-dropping-particle":"","parse-names":false,"suffix":""}],"container-title":"AI and Society","id":"ITEM-3","issue":"1","issued":{"date-parts":[["2021"]]},"title":"Minding morality: ethical artificial societies for public policy modeling","type":"article-journal","volume":"36"},"uris":["http://www.mendeley.com/documents/?uuid=63ed2458-eab9-3feb-acaf-79bd35a92371"]},{"id":"ITEM-4","itemData":{"abstract":"This is the first in a series of tax policy concept statements issued by the AICPA Tax Division on tax policy matters. It is intended to aid in the development of federal tax legislation in directions that the AICPA believes are in the public interest.  Tax policy concept statements are approved by the Tax Executive Committee of the AICPA Tax Division after they are developed and approved by the division’s Tax Legislation and Policy Committee. Other division committees and technical resource panels may develop tax policy concept statements if requested to do so.  This statement was developed by the Fundamental Tax Reform Task Force with input from the 1998-1999 Tax Policy and Simplification Committee and 1999-2000 Tax Legislation and Policy Committee. It was approved by the 2000-01 Tax Legislation and Policy Committee and the 2000-01 Tax Executive Committee. Members of the bodies that approved this statement tax policy concept statement are listed below.","author":[{"dropping-particle":"","family":"AICPA","given":"","non-dropping-particle":"","parse-names":false,"suffix":""}],"container-title":"American Institute of Certified Public Accountants","id":"ITEM-4","issue":"March 2001","issued":{"date-parts":[["2017"]]},"title":"Guiding principles of good tax policy: A framework for evaluating tax proposals","type":"article-journal","volume":"2017"},"uris":["http://www.mendeley.com/documents/?uuid=fd7fd588-6e5e-31f3-9dc3-ad5a12e357db"]},{"id":"ITEM-5","itemData":{"DOI":"10.5324/eip.v10i1.1951","ISSN":"18904009","abstract":"Stimulating innovation and growth in the so-called 'creative economy' is a current policy objective for national regulators. One policy lever that can be applied to the creative sector is intellectual property. For example, regulators may alter the scope or term of protection offered by copiright law. Increased copiright protection limits the size of the public domain by restricting access to and use of cultural expressions. Opposition to expansion and further enclosure of the cultural public domain was previously articulated in terms of access to a commons of information. Following the Hargreaves Review of Intellectual Property in 2011, copiright reform in the UK context has been increasingly framed in terms of economic policy objectives. This paper reviews two economic approaches which shape how researchers and policymakers discuss the public domain in debates about IP reform: An economic welfare approach which weighs increases in producer and consumer surplus under different policy configurations and an economics of innovation approach which considers the value of the public domain as a reservoir of ideas for innovators and firms. I argue that economic definitions of the public domain should be augmented by a consideration of the democratic requirements of freedom of expression and access to information. The consequences of this refiguration of the public domain for the public interest and access to information are discussed.","author":[{"dropping-particle":"","family":"Erickson","given":"Kristofer","non-dropping-particle":"","parse-names":false,"suffix":""}],"container-title":"Etikk i Praksis","id":"ITEM-5","issue":"1","issued":{"date-parts":[["2016"]]},"title":"Defining the public domain in economic terms - approaches and consequences for policy","type":"article","volume":"10"},"uris":["http://www.mendeley.com/documents/?uuid=2d7273fe-c265-345a-b20d-3dc6a965bd64"]},{"id":"ITEM-6","itemData":{"DOI":"10.22594/dau.19-827.26.03","ISSN":"21568391","abstract":"This article explores the evolution of social and economic public policy goals and programs embedded in the defense procurement process and explores the impact of these policies on acquisition.","author":[{"dropping-particle":"","family":"Schwartz","given":"Moshe","non-dropping-particle":"","parse-names":false,"suffix":""}],"container-title":"Defense Acquisition Research Journal","id":"ITEM-6","issue":"3","issued":{"date-parts":[["2019"]]},"title":"Social and Economic Public Policy Goals and Their Impact on Defense Acquisition—A 2019 Update","type":"article-journal","volume":"26"},"uris":["http://www.mendeley.com/documents/?uuid=441c64e8-84a9-3728-a42d-6ef33b32b059"]},{"id":"ITEM-7","itemData":{"DOI":"10.1016/j.jclepro.2018.05.162","ISSN":"09596526","abstract":"Economic conditions are typically viewed as having an important influence on environmental policy. In particular, it is widely believed that under adverse economic conditions, electorates and governments prioritize economic growth and jobs over costly ecological restraint. The empirical evidence for this received wisdom, however, remains surprisingly contradictory. We contribute to this debate by studying a case where the odds of the economy-environment trade-off claim holding true should be high: an emerging economy in severe recession, and environmental policy with high short-term costs and long-term benefits. Based on a representative survey (N = 2449) in Brazil, implemented in late 2015/early 2016, we examine how ego- and socio-tropic economic conditions, both perceived and real, affect citizens’ preferences concerning the mitigation of deforestation and climate change. We find no robust evidence for an economy-environment trade-off. The main policy implication is that, from a public opinion perspective, there is considerable room for ambitious environmental policy even under adverse economic conditions.","author":[{"dropping-particle":"","family":"Bakaki","given":"Zorzeta","non-dropping-particle":"","parse-names":false,"suffix":""},{"dropping-particle":"","family":"Bernauer","given":"Thomas","non-dropping-particle":"","parse-names":false,"suffix":""}],"container-title":"Journal of Cleaner Production","id":"ITEM-7","issued":{"date-parts":[["2018"]]},"title":"Do economic conditions affect public support for environmental policy?","type":"article-journal","volume":"195"},"uris":["http://www.mendeley.com/documents/?uuid=31969d64-c6db-3576-a312-961b2d54fab0"]},{"id":"ITEM-8","itemData":{"DOI":"10.1177/1468018117744153","ISSN":"17412803","abstract":"Trade and investment policy has the capacity to support or undermine global action on rising noncommunicable disease (NCD) rates. This article will employ a political science approach to explore how ideology, institutions and interests within the trade and investment policy space may constrain policy recommendations made in the World Health Organization’s Global Action Plan (GAP) on NCDs. Specifically, it details how neoliberal ideology may constrain public health values, how the new constitutionalism may constrain public health legitimacy and how disparities in money, power and resources between elite economic actors and public policy actors may constrain the capacity of public health to influence trade and investment agreement negotiations. The implications of these constraints on the implementation of the GAP-NCDs are discussed.","author":[{"dropping-particle":"","family":"Schram","given":"Ashley","non-dropping-particle":"","parse-names":false,"suffix":""}],"container-title":"Global Social Policy","id":"ITEM-8","issue":"1","issued":{"date-parts":[["2018"]]},"title":"When evidence isn’t enough: Ideological, institutional, and interest-based constraints on achieving trade and health policy coherence","type":"article-journal","volume":"18"},"uris":["http://www.mendeley.com/documents/?uuid=ffe7dba4-bf64-3fd1-88bb-168317480d00"]},{"id":"ITEM-9","itemData":{"DOI":"10.33448/rsd-v9i6.3435","ISSN":"2525-3409","abstract":"Droughts affect semiarid regions worldwide, threatening economic activities and lives of people living in these places. In Brazil, 11% of the population inhabits the semiarid, and despite several mitigation measures taken by the State, it is still ranked as the most vulnerable Brazilian region and potentially the most affected by climate change. Throughout Brazilian history several public policies focused on water supply in the semiarid region have failed for different reasons. Two recurring arguments are the lack of financial resources and poor management. This work presents an analysis of a public policy that aims to provide quality and perennial water by desalting local brackish groundwater, the Programa Água Doce (PAD). We used the ecodevelopment theory to discuss the economic sustainability of the policy. The methodology used was a documental analysis, and a literature review to understand PAD’s main strengths and weaknesses. We found that the continuous flow of public and private investment was a decisive element to the implementation of the technology during the initial transference of responsibilities moment. In addition, by the gradual reduction of public investment, the management of the systems became local and funded by private resources from the beneficiaries. The PAD presents, in its dynamics, advances in the field of the dissemination of water treatment technologies and social technologies, especially in relation to the Management Agreements. However, the lack of processes for community empowerment and no strengthening of cooperativism resulted in disconnected systems that were not able to ensure economic sustainability.","author":[{"dropping-particle":"","family":"Victral","given":"Davi Madureira","non-dropping-particle":"","parse-names":false,"suffix":""},{"dropping-particle":"","family":"Grossi","given":"Luiza Barros","non-dropping-particle":"","parse-names":false,"suffix":""},{"dropping-particle":"","family":"Ramos","given":"Alisson Martins","non-dropping-particle":"","parse-names":false,"suffix":""},{"dropping-particle":"","family":"Gontijo","given":"Hebert Medeiros","non-dropping-particle":"","parse-names":false,"suffix":""}],"container-title":"Research, Society and Development","id":"ITEM-9","issue":"6","issued":{"date-parts":[["2020"]]},"title":"Economic sustainability of water supply public policy in Brazil semiarid regions","type":"article-journal","volume":"9"},"uris":["http://www.mendeley.com/documents/?uuid=edaaf1a5-aa5c-36d2-90ff-10265420d9f0"]}],"mendeley":{"formattedCitation":"(AICPA, 2017; Bakaki &amp; Bernauer, 2018; Diallo et al., 2021; Erickson, 2016; Grove et al., 2020; Sánchez et al., 2020; Schram, 2018; Schwartz, 2019; Victral et al., 2020)","plainTextFormattedCitation":"(AICPA, 2017; Bakaki &amp; Bernauer, 2018; Diallo et al., 2021; Erickson, 2016; Grove et al., 2020; Sánchez et al., 2020; Schram, 2018; Schwartz, 2019; Victral et al., 2020)","previouslyFormattedCitation":"(AICPA, 2017; Bakaki &amp; Bernauer, 2018; Diallo et al., 2021; Erickson, 2016; Grove et al., 2020; Sánchez et al., 2020; Schram, 2018; Schwartz, 2019; Victral et al., 2020)"},"properties":{"noteIndex":0},"schema":"https://github.com/citation-style-language/schema/raw/master/csl-citation.json"}</w:instrText>
      </w:r>
      <w:r w:rsidR="009D6EEA">
        <w:rPr>
          <w:rFonts w:eastAsiaTheme="minorEastAsia"/>
        </w:rPr>
        <w:fldChar w:fldCharType="separate"/>
      </w:r>
      <w:r w:rsidR="009D6EEA" w:rsidRPr="009D6EEA">
        <w:rPr>
          <w:rFonts w:eastAsiaTheme="minorEastAsia"/>
          <w:noProof/>
        </w:rPr>
        <w:t>(AICPA, 2017; Bakaki &amp; Bernauer, 2018; Diallo et al., 2021; Erickson, 2016; Grove et al., 2020; Sánchez et al., 2020; Schram, 2018; Schwartz, 2019; Victral et al., 2020)</w:t>
      </w:r>
      <w:r w:rsidR="009D6EEA">
        <w:rPr>
          <w:rFonts w:eastAsiaTheme="minorEastAsia"/>
        </w:rPr>
        <w:fldChar w:fldCharType="end"/>
      </w:r>
      <w:r>
        <w:rPr>
          <w:rFonts w:eastAsiaTheme="minorEastAsia"/>
        </w:rPr>
        <w:t xml:space="preserve">. </w:t>
      </w:r>
      <w:r>
        <w:rPr>
          <w:rFonts w:eastAsiaTheme="minorEastAsia"/>
        </w:rPr>
        <w:lastRenderedPageBreak/>
        <w:t xml:space="preserve">Moreover, </w:t>
      </w:r>
      <m:oMath>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1</m:t>
            </m:r>
          </m:sub>
        </m:sSub>
      </m:oMath>
      <w:r>
        <w:rPr>
          <w:rFonts w:eastAsiaTheme="minorEastAsia"/>
        </w:rPr>
        <w:t xml:space="preserve"> is a coefficient for the rate of taxes. Then, the </w:t>
      </w:r>
      <w:r w:rsidR="001A0248">
        <w:rPr>
          <w:rFonts w:eastAsiaTheme="minorEastAsia"/>
        </w:rPr>
        <w:t>Eq.</w:t>
      </w:r>
      <w:r>
        <w:rPr>
          <w:rFonts w:eastAsiaTheme="minorEastAsia"/>
        </w:rPr>
        <w:t xml:space="preserve"> (</w:t>
      </w:r>
      <w:r w:rsidR="001A0248">
        <w:rPr>
          <w:rFonts w:eastAsiaTheme="minorEastAsia"/>
        </w:rPr>
        <w:t>4</w:t>
      </w:r>
      <w:r>
        <w:rPr>
          <w:rFonts w:eastAsiaTheme="minorEastAsia"/>
        </w:rPr>
        <w:t>) shows the case of the arm’s length principle:</w:t>
      </w:r>
    </w:p>
    <w:p w14:paraId="0136451B" w14:textId="7EF1D23F" w:rsidR="00984C8D" w:rsidRDefault="00984C8D" w:rsidP="00984C8D">
      <w:pPr>
        <w:rPr>
          <w:rFonts w:eastAsiaTheme="minorEastAsia"/>
        </w:rPr>
      </w:pPr>
      <m:oMath>
        <m:r>
          <w:rPr>
            <w:rFonts w:ascii="Cambria Math" w:eastAsiaTheme="minorEastAsia" w:hAnsi="Cambria Math"/>
          </w:rPr>
          <m:t>v</m:t>
        </m:r>
      </m:oMath>
      <w:r>
        <w:rPr>
          <w:rFonts w:eastAsiaTheme="minorEastAsia"/>
        </w:rPr>
        <w:t xml:space="preserve"> = p*</w:t>
      </w:r>
      <m:oMath>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2</m:t>
            </m:r>
          </m:sub>
        </m:sSub>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w:t>
      </w:r>
      <w:r w:rsidR="001A0248">
        <w:rPr>
          <w:rFonts w:eastAsiaTheme="minorEastAsia"/>
        </w:rPr>
        <w:t>4</w:t>
      </w:r>
      <w:r>
        <w:rPr>
          <w:rFonts w:eastAsiaTheme="minorEastAsia"/>
        </w:rPr>
        <w:t>)</w:t>
      </w:r>
    </w:p>
    <w:p w14:paraId="1A05D126" w14:textId="45B316F4" w:rsidR="00984C8D" w:rsidRDefault="00984C8D" w:rsidP="00984C8D">
      <w:pPr>
        <w:pStyle w:val="SSRNnormal"/>
        <w:rPr>
          <w:rFonts w:eastAsiaTheme="minorEastAsia"/>
        </w:rPr>
      </w:pPr>
      <w:r>
        <w:t xml:space="preserve">The symbol of </w:t>
      </w:r>
      <m:oMath>
        <m:r>
          <w:rPr>
            <w:rFonts w:ascii="Cambria Math" w:hAnsi="Cambria Math"/>
          </w:rPr>
          <m:t>v</m:t>
        </m:r>
      </m:oMath>
      <w:r>
        <w:t xml:space="preserve"> in the previous equation shows the taxes that should </w:t>
      </w:r>
      <w:r w:rsidR="001A0248">
        <w:t>be paid to</w:t>
      </w:r>
      <w:r>
        <w:t xml:space="preserve"> the enterprises of controlled transactions in the application of the fixed length principle. Then, </w:t>
      </w:r>
      <m:oMath>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2</m:t>
            </m:r>
          </m:sub>
        </m:sSub>
      </m:oMath>
      <w:r>
        <w:rPr>
          <w:rFonts w:eastAsiaTheme="minorEastAsia"/>
        </w:rPr>
        <w:t xml:space="preserve"> is a coefficient for the rate of taxes in the case of </w:t>
      </w:r>
      <w:r w:rsidR="001A0248">
        <w:rPr>
          <w:rFonts w:eastAsiaTheme="minorEastAsia"/>
        </w:rPr>
        <w:t xml:space="preserve">the </w:t>
      </w:r>
      <w:r>
        <w:rPr>
          <w:rFonts w:eastAsiaTheme="minorEastAsia"/>
        </w:rPr>
        <w:t>fixed length principle:</w:t>
      </w:r>
    </w:p>
    <w:p w14:paraId="6C3560B4" w14:textId="235407C7" w:rsidR="00984C8D" w:rsidRDefault="00984C8D" w:rsidP="00984C8D">
      <w:pPr>
        <w:rPr>
          <w:rFonts w:eastAsiaTheme="minorEastAsia"/>
        </w:rPr>
      </w:pPr>
      <m:oMath>
        <m:r>
          <w:rPr>
            <w:rFonts w:ascii="Cambria Math" w:eastAsiaTheme="minorEastAsia" w:hAnsi="Cambria Math"/>
          </w:rPr>
          <m:t>v</m:t>
        </m:r>
        <m:r>
          <m:rPr>
            <m:sty m:val="p"/>
          </m:rPr>
          <w:rPr>
            <w:rFonts w:ascii="Cambria Math" w:eastAsiaTheme="minorEastAsia" w:hAnsi="Cambria Math"/>
          </w:rPr>
          <m:t>≥</m:t>
        </m:r>
        <m:r>
          <w:rPr>
            <w:rFonts w:ascii="Cambria Math" w:eastAsiaTheme="minorEastAsia" w:hAnsi="Cambria Math"/>
          </w:rPr>
          <m:t>b</m:t>
        </m:r>
      </m:oMath>
      <w:r>
        <w:rPr>
          <w:rFonts w:eastAsiaTheme="minorEastAsia"/>
          <w:i/>
        </w:rPr>
        <w:tab/>
      </w:r>
      <w:r>
        <w:rPr>
          <w:rFonts w:eastAsiaTheme="minorEastAsia"/>
          <w:i/>
        </w:rPr>
        <w:tab/>
      </w:r>
      <w:r>
        <w:rPr>
          <w:rFonts w:eastAsiaTheme="minorEastAsia"/>
          <w:i/>
        </w:rPr>
        <w:tab/>
      </w:r>
      <w:r>
        <w:rPr>
          <w:rFonts w:eastAsiaTheme="minorEastAsia"/>
          <w:i/>
        </w:rPr>
        <w:tab/>
      </w:r>
      <w:r>
        <w:rPr>
          <w:rFonts w:eastAsiaTheme="minorEastAsia"/>
          <w:i/>
        </w:rPr>
        <w:tab/>
      </w:r>
      <w:r>
        <w:rPr>
          <w:rFonts w:eastAsiaTheme="minorEastAsia"/>
          <w:i/>
        </w:rPr>
        <w:tab/>
      </w:r>
      <w:r>
        <w:rPr>
          <w:rFonts w:eastAsiaTheme="minorEastAsia"/>
          <w:i/>
        </w:rPr>
        <w:tab/>
      </w:r>
      <w:r>
        <w:rPr>
          <w:rFonts w:eastAsiaTheme="minorEastAsia"/>
          <w:i/>
        </w:rPr>
        <w:tab/>
      </w:r>
      <w:r>
        <w:rPr>
          <w:rFonts w:eastAsiaTheme="minorEastAsia"/>
          <w:i/>
        </w:rPr>
        <w:tab/>
      </w:r>
      <w:r>
        <w:rPr>
          <w:rFonts w:eastAsiaTheme="minorEastAsia"/>
          <w:i/>
        </w:rPr>
        <w:tab/>
      </w:r>
      <w:r>
        <w:rPr>
          <w:rFonts w:eastAsiaTheme="minorEastAsia"/>
          <w:i/>
        </w:rPr>
        <w:tab/>
      </w:r>
      <w:r>
        <w:rPr>
          <w:rFonts w:eastAsiaTheme="minorEastAsia"/>
          <w:i/>
        </w:rPr>
        <w:tab/>
      </w:r>
      <w:r>
        <w:rPr>
          <w:rFonts w:eastAsiaTheme="minorEastAsia"/>
        </w:rPr>
        <w:t>(</w:t>
      </w:r>
      <w:r w:rsidR="001A0248">
        <w:rPr>
          <w:rFonts w:eastAsiaTheme="minorEastAsia"/>
        </w:rPr>
        <w:t>5</w:t>
      </w:r>
      <w:r>
        <w:rPr>
          <w:rFonts w:eastAsiaTheme="minorEastAsia"/>
        </w:rPr>
        <w:t>)</w:t>
      </w:r>
    </w:p>
    <w:p w14:paraId="1B4135E1" w14:textId="161BB61B" w:rsidR="009D6EEA" w:rsidRDefault="009D6EEA" w:rsidP="00984C8D">
      <w:pPr>
        <w:pStyle w:val="SSRNnormal"/>
      </w:pPr>
      <w:r>
        <w:rPr>
          <w:noProof/>
        </w:rPr>
        <mc:AlternateContent>
          <mc:Choice Requires="wpg">
            <w:drawing>
              <wp:anchor distT="0" distB="0" distL="114300" distR="114300" simplePos="0" relativeHeight="251662848" behindDoc="0" locked="0" layoutInCell="1" allowOverlap="1" wp14:anchorId="134141F4" wp14:editId="27695AC3">
                <wp:simplePos x="0" y="0"/>
                <wp:positionH relativeFrom="column">
                  <wp:posOffset>209550</wp:posOffset>
                </wp:positionH>
                <wp:positionV relativeFrom="paragraph">
                  <wp:posOffset>3090545</wp:posOffset>
                </wp:positionV>
                <wp:extent cx="3705225" cy="1559560"/>
                <wp:effectExtent l="0" t="0" r="9525" b="2540"/>
                <wp:wrapTopAndBottom/>
                <wp:docPr id="84722925" name="Group 3"/>
                <wp:cNvGraphicFramePr/>
                <a:graphic xmlns:a="http://schemas.openxmlformats.org/drawingml/2006/main">
                  <a:graphicData uri="http://schemas.microsoft.com/office/word/2010/wordprocessingGroup">
                    <wpg:wgp>
                      <wpg:cNvGrpSpPr/>
                      <wpg:grpSpPr>
                        <a:xfrm>
                          <a:off x="0" y="0"/>
                          <a:ext cx="3705225" cy="1559560"/>
                          <a:chOff x="0" y="0"/>
                          <a:chExt cx="3705225" cy="1559560"/>
                        </a:xfrm>
                      </wpg:grpSpPr>
                      <wpg:grpSp>
                        <wpg:cNvPr id="566667046" name="Group 2"/>
                        <wpg:cNvGrpSpPr/>
                        <wpg:grpSpPr>
                          <a:xfrm>
                            <a:off x="0" y="0"/>
                            <a:ext cx="3429000" cy="1089660"/>
                            <a:chOff x="0" y="0"/>
                            <a:chExt cx="3429595" cy="1089994"/>
                          </a:xfrm>
                        </wpg:grpSpPr>
                        <wps:wsp>
                          <wps:cNvPr id="11915749" name="Speech Bubble: Rectangle 1"/>
                          <wps:cNvSpPr/>
                          <wps:spPr>
                            <a:xfrm>
                              <a:off x="0" y="0"/>
                              <a:ext cx="1314450" cy="1089994"/>
                            </a:xfrm>
                            <a:prstGeom prst="wedgeRectCallout">
                              <a:avLst/>
                            </a:prstGeom>
                            <a:ln/>
                          </wps:spPr>
                          <wps:style>
                            <a:lnRef idx="2">
                              <a:schemeClr val="dk1"/>
                            </a:lnRef>
                            <a:fillRef idx="1">
                              <a:schemeClr val="lt1"/>
                            </a:fillRef>
                            <a:effectRef idx="0">
                              <a:schemeClr val="dk1"/>
                            </a:effectRef>
                            <a:fontRef idx="minor">
                              <a:schemeClr val="dk1"/>
                            </a:fontRef>
                          </wps:style>
                          <wps:txbx>
                            <w:txbxContent>
                              <w:p w14:paraId="4BC8526D" w14:textId="03EA5FA9" w:rsidR="001A0248" w:rsidRDefault="001A0248" w:rsidP="001A0248">
                                <w:pPr>
                                  <w:jc w:val="center"/>
                                  <w:rPr>
                                    <w:sz w:val="20"/>
                                    <w:szCs w:val="20"/>
                                  </w:rPr>
                                </w:pPr>
                                <w:r w:rsidRPr="001A0248">
                                  <w:rPr>
                                    <w:sz w:val="20"/>
                                    <w:szCs w:val="20"/>
                                  </w:rPr>
                                  <w:t>Arm’s length principle</w:t>
                                </w:r>
                              </w:p>
                              <w:p w14:paraId="3D5D41A9" w14:textId="5311F4E4" w:rsidR="001A0248" w:rsidRPr="001A0248" w:rsidRDefault="001A0248" w:rsidP="001A0248">
                                <w:pPr>
                                  <w:jc w:val="center"/>
                                  <w:rPr>
                                    <w:sz w:val="20"/>
                                    <w:szCs w:val="20"/>
                                  </w:rPr>
                                </w:pPr>
                                <w:r>
                                  <w:rPr>
                                    <w:sz w:val="20"/>
                                    <w:szCs w:val="20"/>
                                  </w:rPr>
                                  <w:t>(Proportional tax)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3311959" name="Speech Bubble: Rectangle 1"/>
                          <wps:cNvSpPr/>
                          <wps:spPr>
                            <a:xfrm>
                              <a:off x="2114550" y="0"/>
                              <a:ext cx="1315045" cy="1070610"/>
                            </a:xfrm>
                            <a:prstGeom prst="wedgeRectCallout">
                              <a:avLst/>
                            </a:prstGeom>
                            <a:ln/>
                          </wps:spPr>
                          <wps:style>
                            <a:lnRef idx="2">
                              <a:schemeClr val="accent3"/>
                            </a:lnRef>
                            <a:fillRef idx="1">
                              <a:schemeClr val="lt1"/>
                            </a:fillRef>
                            <a:effectRef idx="0">
                              <a:schemeClr val="accent3"/>
                            </a:effectRef>
                            <a:fontRef idx="minor">
                              <a:schemeClr val="dk1"/>
                            </a:fontRef>
                          </wps:style>
                          <wps:txbx>
                            <w:txbxContent>
                              <w:p w14:paraId="720FCA4F" w14:textId="242B472D" w:rsidR="001A0248" w:rsidRDefault="001A0248" w:rsidP="001A0248">
                                <w:pPr>
                                  <w:jc w:val="center"/>
                                  <w:rPr>
                                    <w:sz w:val="20"/>
                                    <w:szCs w:val="20"/>
                                  </w:rPr>
                                </w:pPr>
                                <w:r>
                                  <w:rPr>
                                    <w:sz w:val="20"/>
                                    <w:szCs w:val="20"/>
                                  </w:rPr>
                                  <w:t xml:space="preserve">Fix Length </w:t>
                                </w:r>
                                <w:r w:rsidR="002164D5">
                                  <w:rPr>
                                    <w:sz w:val="20"/>
                                    <w:szCs w:val="20"/>
                                  </w:rPr>
                                  <w:t>Principle</w:t>
                                </w:r>
                              </w:p>
                              <w:p w14:paraId="6396CA4A" w14:textId="0F5DD2A7" w:rsidR="001A0248" w:rsidRPr="001A0248" w:rsidRDefault="001A0248" w:rsidP="001A0248">
                                <w:pPr>
                                  <w:jc w:val="center"/>
                                  <w:rPr>
                                    <w:sz w:val="20"/>
                                    <w:szCs w:val="20"/>
                                  </w:rPr>
                                </w:pPr>
                                <w:r>
                                  <w:rPr>
                                    <w:sz w:val="20"/>
                                    <w:szCs w:val="20"/>
                                  </w:rPr>
                                  <w:t>(Proportional + minimum fix tax)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1179381" name="Text Box 1"/>
                        <wps:cNvSpPr txBox="1"/>
                        <wps:spPr>
                          <a:xfrm>
                            <a:off x="0" y="1257300"/>
                            <a:ext cx="3705225" cy="302260"/>
                          </a:xfrm>
                          <a:prstGeom prst="rect">
                            <a:avLst/>
                          </a:prstGeom>
                          <a:solidFill>
                            <a:prstClr val="white"/>
                          </a:solidFill>
                          <a:ln>
                            <a:noFill/>
                          </a:ln>
                        </wps:spPr>
                        <wps:txbx>
                          <w:txbxContent>
                            <w:p w14:paraId="3C2E92EC" w14:textId="58ABCDB6" w:rsidR="001A0248" w:rsidRPr="001A0248" w:rsidRDefault="001A0248" w:rsidP="001A0248">
                              <w:pPr>
                                <w:pStyle w:val="Caption"/>
                                <w:rPr>
                                  <w:i w:val="0"/>
                                  <w:iCs w:val="0"/>
                                  <w:color w:val="auto"/>
                                  <w:sz w:val="24"/>
                                  <w:szCs w:val="22"/>
                                </w:rPr>
                              </w:pPr>
                              <w:r w:rsidRPr="001A0248">
                                <w:rPr>
                                  <w:i w:val="0"/>
                                  <w:iCs w:val="0"/>
                                  <w:color w:val="auto"/>
                                  <w:sz w:val="24"/>
                                  <w:szCs w:val="22"/>
                                </w:rPr>
                                <w:t>Figure 1: Arm’s length principle of fixed length principle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134141F4" id="Group 3" o:spid="_x0000_s1026" style="position:absolute;left:0;text-align:left;margin-left:16.5pt;margin-top:243.35pt;width:291.75pt;height:122.8pt;z-index:251662848" coordsize="37052,1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">
                <v:group id="Group 2" o:spid="_x0000_s1027" style="position:absolute;width:34290;height:10896" coordsize="34295,1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 o:spid="_x0000_s1028" type="#_x0000_t61" style="position:absolute;width:13144;height:10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" adj="6300,24300" fillcolor="white [3201]" strokecolor="black [3200]" strokeweight="2pt">
                    <v:textbox>
                      <w:txbxContent>
                        <w:p w14:paraId="4BC8526D" w14:textId="03EA5FA9" w:rsidR="001A0248" w:rsidRDefault="001A0248" w:rsidP="001A0248">
                          <w:pPr>
                            <w:jc w:val="center"/>
                            <w:rPr>
                              <w:sz w:val="20"/>
                              <w:szCs w:val="20"/>
                            </w:rPr>
                          </w:pPr>
                          <w:r w:rsidRPr="001A0248">
                            <w:rPr>
                              <w:sz w:val="20"/>
                              <w:szCs w:val="20"/>
                            </w:rPr>
                            <w:t>Arm’s length principle</w:t>
                          </w:r>
                        </w:p>
                        <w:p w14:paraId="3D5D41A9" w14:textId="5311F4E4" w:rsidR="001A0248" w:rsidRPr="001A0248" w:rsidRDefault="001A0248" w:rsidP="001A0248">
                          <w:pPr>
                            <w:jc w:val="center"/>
                            <w:rPr>
                              <w:sz w:val="20"/>
                              <w:szCs w:val="20"/>
                            </w:rPr>
                          </w:pPr>
                          <w:r>
                            <w:rPr>
                              <w:sz w:val="20"/>
                              <w:szCs w:val="20"/>
                            </w:rPr>
                            <w:t>(Proportional tax)</w:t>
                          </w:r>
                        </w:p>
                      </w:txbxContent>
                    </v:textbox>
                  </v:shape>
                  <v:shape id="Speech Bubble: Rectangle 1" o:spid="_x0000_s1029" type="#_x0000_t61" style="position:absolute;left:21145;width:13150;height:10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" adj="6300,24300" fillcolor="white [3201]" strokecolor="#9bbb59 [3206]" strokeweight="2pt">
                    <v:textbox>
                      <w:txbxContent>
                        <w:p w14:paraId="720FCA4F" w14:textId="242B472D" w:rsidR="001A0248" w:rsidRDefault="001A0248" w:rsidP="001A0248">
                          <w:pPr>
                            <w:jc w:val="center"/>
                            <w:rPr>
                              <w:sz w:val="20"/>
                              <w:szCs w:val="20"/>
                            </w:rPr>
                          </w:pPr>
                          <w:r>
                            <w:rPr>
                              <w:sz w:val="20"/>
                              <w:szCs w:val="20"/>
                            </w:rPr>
                            <w:t xml:space="preserve">Fix Length </w:t>
                          </w:r>
                          <w:r w:rsidR="002164D5">
                            <w:rPr>
                              <w:sz w:val="20"/>
                              <w:szCs w:val="20"/>
                            </w:rPr>
                            <w:t>Principle</w:t>
                          </w:r>
                        </w:p>
                        <w:p w14:paraId="6396CA4A" w14:textId="0F5DD2A7" w:rsidR="001A0248" w:rsidRPr="001A0248" w:rsidRDefault="001A0248" w:rsidP="001A0248">
                          <w:pPr>
                            <w:jc w:val="center"/>
                            <w:rPr>
                              <w:sz w:val="20"/>
                              <w:szCs w:val="20"/>
                            </w:rPr>
                          </w:pPr>
                          <w:r>
                            <w:rPr>
                              <w:sz w:val="20"/>
                              <w:szCs w:val="20"/>
                            </w:rPr>
                            <w:t>(Proportional + minimum fix tax)</w:t>
                          </w:r>
                        </w:p>
                      </w:txbxContent>
                    </v:textbox>
                  </v:shape>
                </v:group>
                <v:shapetype id="_x0000_t202" coordsize="21600,21600" o:spt="202" path="m,l,21600r21600,l21600,xe">
                  <v:stroke joinstyle="miter"/>
                  <v:path gradientshapeok="t" o:connecttype="rect"/>
                </v:shapetype>
                <v:shape id="Text Box 1" o:spid="_x0000_s1030" type="#_x0000_t202" style="position:absolute;top:12573;width:37052;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" stroked="f">
                  <v:textbox style="mso-fit-shape-to-text:t" inset="0,0,0,0">
                    <w:txbxContent>
                      <w:p w14:paraId="3C2E92EC" w14:textId="58ABCDB6" w:rsidR="001A0248" w:rsidRPr="001A0248" w:rsidRDefault="001A0248" w:rsidP="001A0248">
                        <w:pPr>
                          <w:pStyle w:val="Caption"/>
                          <w:rPr>
                            <w:i w:val="0"/>
                            <w:iCs w:val="0"/>
                            <w:color w:val="auto"/>
                            <w:sz w:val="24"/>
                            <w:szCs w:val="22"/>
                          </w:rPr>
                        </w:pPr>
                        <w:r w:rsidRPr="001A0248">
                          <w:rPr>
                            <w:i w:val="0"/>
                            <w:iCs w:val="0"/>
                            <w:color w:val="auto"/>
                            <w:sz w:val="24"/>
                            <w:szCs w:val="22"/>
                          </w:rPr>
                          <w:t>Figure 1: Arm’s length principle of fixed length principle</w:t>
                        </w:r>
                      </w:p>
                    </w:txbxContent>
                  </v:textbox>
                </v:shape>
                <w10:wrap type="topAndBottom"/>
              </v:group>
            </w:pict>
          </mc:Fallback>
        </mc:AlternateContent>
      </w:r>
      <w:r w:rsidR="00984C8D">
        <w:t xml:space="preserve">The tax for the companies </w:t>
      </w:r>
      <w:r w:rsidR="001A0248">
        <w:t>that</w:t>
      </w:r>
      <w:r w:rsidR="00984C8D">
        <w:t xml:space="preserve"> participate in controlled transactions of transfer pricing in the case of </w:t>
      </w:r>
      <w:r w:rsidR="001A0248">
        <w:t xml:space="preserve">the </w:t>
      </w:r>
      <w:r w:rsidR="00984C8D">
        <w:t xml:space="preserve">fixed length principle is higher or at least equal </w:t>
      </w:r>
      <w:r w:rsidR="001A0248">
        <w:t>to</w:t>
      </w:r>
      <w:r w:rsidR="00984C8D">
        <w:t xml:space="preserve"> tha</w:t>
      </w:r>
      <w:r w:rsidR="001A0248">
        <w:t>t</w:t>
      </w:r>
      <w:r w:rsidR="00984C8D">
        <w:t xml:space="preserve"> of the case of the arm’s length principle.</w:t>
      </w:r>
      <w:r>
        <w:t xml:space="preserve"> </w:t>
      </w:r>
      <w:r w:rsidR="00984C8D">
        <w:t xml:space="preserve">Thereupon, with the fixed length principle the enterprises of controlled transactions </w:t>
      </w:r>
      <w:r w:rsidR="001A0248">
        <w:t>can</w:t>
      </w:r>
      <w:r w:rsidR="00984C8D">
        <w:t xml:space="preserve"> tackle issues </w:t>
      </w:r>
      <w:r w:rsidR="001A0248">
        <w:t>that</w:t>
      </w:r>
      <w:r w:rsidR="00984C8D">
        <w:t xml:space="preserve"> come from the allocation of profits and losses</w:t>
      </w:r>
      <w:r>
        <w:t xml:space="preserve"> </w:t>
      </w:r>
      <w:r>
        <w:fldChar w:fldCharType="begin" w:fldLock="1"/>
      </w:r>
      <w:r>
        <w:instrText>ADDIN CSL_CITATION {"citationItems":[{"id":"ITEM-1","itemData":{"DOI":"10.1017/9781316663011","abstract":"Economic Analysis, Moral Philosophy, and Public Policy, by Daniel M. Hausman and Michael S. McPherson, is reviewed.","author":[{"dropping-particle":"","family":"Hausman","given":"Daniel","non-dropping-particle":"","parse-names":false,"suffix":""},{"dropping-particle":"","family":"McPherson","given":"Michael","non-dropping-particle":"","parse-names":false,"suffix":""},{"dropping-particle":"","family":"Satz","given":"Debra","non-dropping-particle":"","parse-names":false,"suffix":""}],"container-title":"Economic Analysis, Moral Philosophy, and Public Policy","id":"ITEM-1","issued":{"date-parts":[["2016"]]},"title":"Economic Analysis, Moral Philosophy, and Public Policy","type":"book"},"uris":["http://www.mendeley.com/documents/?uuid=2eeee4d3-1865-31b1-a83b-253d4f5c3d4a"]},{"id":"ITEM-2","itemData":{"DOI":"10.1177/0141076820925229","ISSN":"01410768","author":[{"dropping-particle":"","family":"Anderson","given":"Michael","non-dropping-particle":"","parse-names":false,"suffix":""},{"dropping-particle":"","family":"Mckee","given":"Martin","non-dropping-particle":"","parse-names":false,"suffix":""},{"dropping-particle":"","family":"Mossialos","given":"Elias","non-dropping-particle":"","parse-names":false,"suffix":""}],"container-title":"Journal of the Royal Society of Medicine","id":"ITEM-2","issue":"5","issued":{"date-parts":[["2020"]]},"title":"Developing a sustainable exit strategy for COVID-19: health, economic and public policy implications","type":"article","volume":"113"},"uris":["http://www.mendeley.com/documents/?uuid=9a4592f0-65ab-31c8-97a1-c370f058bc10"]},{"id":"ITEM-3","itemData":{"abstract":"March 26, 2020 No. 28 Norman V. Loayza and Steven Pennings COVID-19 not only represents a worldwide public health emergency but has become an international economic crisis that could surpass the global financial crisis of 2008-09. Right now, containment and mitigation measures are necessary to limit the spread of the virus and save lives. However, they come at a cost, as shutdowns imply reducing economic activity. These human and economic costs are likely to be larger for developing countries, which generally have lower health care capacity, larger informal sectors, shallower financial markets, less fiscal space, and poorer governance. Policy makers will need to weigh carefully the effectiveness and socioeconomic consequences of containment and mitigation policies, responding to epidemiological evidence on how the virus spreads and trying to avoid unintended consequences. Economic policy in the short term should be focused on providing emergency relief to vulnerable populations and affected businesses. The short-term goal is not to stimulate the economy-which is impossible, given the supply-restricting containment measures, but rather to avoid mass layoffs and bankruptcies. In the medium term, macroeconomic policy should turn to recovery measures, which typically involve monetary and fiscal stimulus. However, in many developing countries, stimulus may be less effective because monetary transmission is weak and fiscal space and fiscal multipliers are often small. A more viable goal for macroeconomic policy in developing countries is avoiding procyclicality, ensuring the continuity of public services for the economy, and supporting the vulnerable. Because COVID-19 is truly a global shock, international coordination is essential, in economic policy, health care and science, and containment and mitigation efforts. Critical times call for well-designed government action and effective public service delivery-preserving, rather than ignoring, the practices for macroeconomic stability and proper governance that serve in good and bad times.","author":[{"dropping-particle":"","family":"Loayza","given":"Norman","non-dropping-particle":"","parse-names":false,"suffix":""},{"dropping-particle":"","family":"Pennings","given":"Steven Michael","non-dropping-particle":"","parse-names":false,"suffix":""}],"container-title":"World Bank Research and Policy Briefs","id":"ITEM-3","issue":"147291","issued":{"date-parts":[["2020"]]},"title":"Macroeconomic Policy in the Time of COVID-19 : A Primer for Developing Countries","type":"article-journal"},"uris":["http://www.mendeley.com/documents/?uuid=4e3df4d3-5c31-3ab5-9dd1-f365bde76efe"]},{"id":"ITEM-4","itemData":{"DOI":"10.1016/j.econ.2019.11.002","ISSN":"23582820","abstract":"The failure of public policies is ubiquitous. This paper ascribes this failure to the complex system nature of public policies. A key characteristic of complex systems is that they cannot be closely controlled or predicted. Yet the traditional approach to public policy is fundamentally based on both control and prediction, as it proceeds by comparing the expected costs and benefits of a postulated set of alternatives. In this paper I provide five pathologies of complex systems and show how they cause the failure of the traditional approach. If a public policy is recognized as taking place within a complex system, it is necessary to use instruments that can work within those informational and epistemological constraints. I provide several examples of the types of policies that meet these demands. But when dealing with complex systems, even with appropriate instruments it is nevertheless necessary to adjust the expectations of what can realistically be achieved.","author":[{"dropping-particle":"","family":"Mueller","given":"Bernardo","non-dropping-particle":"","parse-names":false,"suffix":""}],"container-title":"EconomiA","id":"ITEM-4","issue":"2","issued":{"date-parts":[["2020"]]},"title":"Why public policies fail: Policymaking under complexity","type":"article-journal","volume":"21"},"uris":["http://www.mendeley.com/documents/?uuid=be4fff54-22df-33c0-8cc0-e57f6d4be295"]},{"id":"ITEM-5","itemData":{"DOI":"10.11130/jei.2020.35.3.353","ISSN":"19765525","abstract":"We study the link between tax competition, efficiency of available fiscal bases and public indebtedness levels in the member countries of a monetary union. Theoretically, labor taxation would be the most efficient way to collect fiscal resources, as this production factor is more rigid; so, only initially weakly indebted countries can afford to have weak labor taxation rates. Empirical data also validate the decreasing relation between consumption taxation rates and public debt levels. On the contrary, capital taxation would be less efficient, because of capital mobility. If the capital taxation rate is higher than in the rest of the monetary union, tax evasion could deteriorate the fiscal base and increase the public debt to GDP ratio. So, empirical data show an ambiguous trend between the historical evolution of implicit capital taxation rates and public debt levels in the Euro Area.","author":[{"dropping-particle":"","family":"Menguy","given":"Séverine","non-dropping-particle":"","parse-names":false,"suffix":""}],"container-title":"Journal of Economic Integration","id":"ITEM-5","issue":"3","issued":{"date-parts":[["2020"]]},"title":"Tax competition, fiscal policy, and public debt levels in a monetary union","type":"article-journal","volume":"35"},"uris":["http://www.mendeley.com/documents/?uuid=3bea7be6-b609-31d2-af2e-569642c206f0"]},{"id":"ITEM-6","itemData":{"DOI":"10.1332/030557320X15987279194319","ISSN":"14708442","abstract":"This Special Issue features theoretical, methodological, and empirical advancements of the stateof- the-art in behavioural public policy and administration. In this introduction, we develop a behaviourally-informed, integrated conceptual model of the policy process that embeds individual attitudes and behaviour into context at the meso and macro level. We argue that behavioural approaches can be situated within a broader tradition of methodological individualism. Despite focusing on the micro level of policy processes, the contributions in this issue demonstrate that the behavioural study of public policy and administration can go beyond the individual level and give important insights into policy and societal outcomes. Our model enables us to draw more substantial lessons from behavioural research by moving beyond the verification of individual behaviour change. If based on a broad conceptual design and methodological pluralism, behavioural policies bear the potential to better understand, investigate and shape social outcomes.","author":[{"dropping-particle":"","family":"Ewert","given":"Benjamin","non-dropping-particle":"","parse-names":false,"suffix":""},{"dropping-particle":"","family":"Loer","given":"Kathrin","non-dropping-particle":"","parse-names":false,"suffix":""},{"dropping-particle":"","family":"Thomann","given":"Eva","non-dropping-particle":"","parse-names":false,"suffix":""}],"container-title":"Policy and politics","id":"ITEM-6","issue":"1","issued":{"date-parts":[["2021"]]},"title":"Beyond nudge: advancing the state-of-the-art of behavioural public policy and administration","type":"article-journal","volume":"49"},"uris":["http://www.mendeley.com/documents/?uuid=55496dd9-8271-3c4e-9f4d-769367e1b609"]},{"id":"ITEM-7","itemData":{"DOI":"10.1108/WJEMSD-04-2018-0041","ISSN":"2042597X","abstract":"Purpose: The paper provides historical outlook on different trends in PPPs in global public policy. The purpose of this paper is to reject the essentialist and neoliberal approach to PPPs by critically evaluating both normative and empirical arguments within existing literature. Design/methodology/approach: The paper draws its methodological lineages to nonlinear historical narrative around the concept and construction of the idea and language of “PPPs”. The paper follows discourse analysis (Fairclough, 2003) to locate the way in which PPPs were incorporated within the language of global public policy. Findings: The paper finds that most of the existing literature looks at managerial, operational, functional and essentialist aspects of PPPs. Therefore, the paper argues that critical success of PPPs depends on its social value for the common good with an emancipatory outlook. Originality/value: The paper argues to move beyond functional aspects of PPPs and locate emancipatory possibilities within the praxis of global public policy.","author":[{"dropping-particle":"","family":"Nayak","given":"Bhabani Shankar","non-dropping-particle":"","parse-names":false,"suffix":""}],"container-title":"World Journal of Entrepreneurship, Management and Sustainable Development","id":"ITEM-7","issue":"3","issued":{"date-parts":[["2019"]]},"title":"Reconceptualising Public Private Partnerships (PPPs) in global public policy","type":"article-journal","volume":"15"},"uris":["http://www.mendeley.com/documents/?uuid=73b23066-8a29-3d98-9ce4-5a7cf7518f7d"]},{"id":"ITEM-8","itemData":{"DOI":"10.1086/684629","ISSN":"14682508","abstract":"How do citizens view economists, and how do they respond to consensus in the profession? We examine the responsiveness of the American public to information regarding the distribution of opinion among economists on five economic policy issues. We also examine the extent and role of citizens' trust in economists. We find that trust is tepid and find correspondingly small-To-moderate changes in public opinion when citizens are given information about expert opinion. Indeed, we provide evidence that responsiveness is larger when the consensus is attributed to a generic sample of people than when it is attributed to economists. We also find heterogeneity in responsiveness across issues, such that opinion change is smaller on symbolic policy issues than technical ones. Further, on the former, but not the latter, we find that citizens use judgments of trust in economists in a motivated fashion, to reinforce prior opinions.","author":[{"dropping-particle":"","family":"Johnston","given":"Christopher D.","non-dropping-particle":"","parse-names":false,"suffix":""},{"dropping-particle":"","family":"Ballard","given":"Andrew O.","non-dropping-particle":"","parse-names":false,"suffix":""}],"container-title":"Journal of Politics","id":"ITEM-8","issue":"2","issued":{"date-parts":[["2016"]]},"title":"Economists and public opinion: Expert consensus and economic policy judgments","type":"article-journal","volume":"78"},"uris":["http://www.mendeley.com/documents/?uuid=ea345b09-6f07-3c06-97ac-5b7dcbbb8d36"]},{"id":"ITEM-9","itemData":{"abstract":"... Economists have for a long time made a serious case against such regulations by pointing to the fact that the costs of achieving ... The European Union Biofuels directive issued in 2003 requires member states to set national targets to ensure a minimum proportion of biofuels and ...","author":[{"dropping-particle":"","family":"Bento","given":"a","non-dropping-particle":"","parse-names":false,"suffix":""}],"container-title":"Biofuels: Environmental Consequences and Implications of Changing Land Use, in RW Howarth and S. Bringezu (eds.)","id":"ITEM-9","issue":"September 2008","issued":{"date-parts":[["2009"]]},"title":"Biofuels: Economic and public policy considerations","type":"article-journal"},"uris":["http://www.mendeley.com/documents/?uuid=8edd8540-5cee-3557-be99-5f1e9d516f99"]}],"mendeley":{"formattedCitation":"(Anderson et al., 2020; Bento, 2009; Ewert et al., 2021; Hausman et al., 2016; Johnston &amp; Ballard, 2016; Loayza &amp; Pennings, 2020; Menguy, 2020; Mueller, 2020; Nayak, 2019)","plainTextFormattedCitation":"(Anderson et al., 2020; Bento, 2009; Ewert et al., 2021; Hausman et al., 2016; Johnston &amp; Ballard, 2016; Loayza &amp; Pennings, 2020; Menguy, 2020; Mueller, 2020; Nayak, 2019)","previouslyFormattedCitation":"(Anderson et al., 2020; Bento, 2009; Ewert et al., 2021; Hausman et al., 2016; Johnston &amp; Ballard, 2016; Loayza &amp; Pennings, 2020; Menguy, 2020; Mueller, 2020; Nayak, 2019)"},"properties":{"noteIndex":0},"schema":"https://github.com/citation-style-language/schema/raw/master/csl-citation.json"}</w:instrText>
      </w:r>
      <w:r>
        <w:fldChar w:fldCharType="separate"/>
      </w:r>
      <w:r w:rsidRPr="009D6EEA">
        <w:rPr>
          <w:noProof/>
        </w:rPr>
        <w:t>(Anderson et al., 2020; Bento, 2009; Ewert et al., 2021; Hausman et al., 2016; Johnston &amp; Ballard, 2016; Loayza &amp; Pennings, 2020; Menguy, 2020; Mueller, 2020; Nayak, 2019)</w:t>
      </w:r>
      <w:r>
        <w:fldChar w:fldCharType="end"/>
      </w:r>
      <w:r w:rsidR="00984C8D">
        <w:t>. The</w:t>
      </w:r>
      <w:r w:rsidR="001A0248">
        <w:t>refor</w:t>
      </w:r>
      <w:r w:rsidR="00984C8D">
        <w:t xml:space="preserve">e, the tax authorities </w:t>
      </w:r>
      <w:r w:rsidR="001A0248">
        <w:t>can</w:t>
      </w:r>
      <w:r w:rsidR="00984C8D">
        <w:t xml:space="preserve"> face the transfer pricing effects </w:t>
      </w:r>
      <w:r w:rsidR="001A0248">
        <w:t>on</w:t>
      </w:r>
      <w:r w:rsidR="00984C8D">
        <w:t xml:space="preserve"> the global tax revenue.</w:t>
      </w:r>
      <w:r w:rsidR="001A0248">
        <w:t xml:space="preserve"> </w:t>
      </w:r>
      <w:r w:rsidR="00984C8D">
        <w:t xml:space="preserve">The fixed length principle permits </w:t>
      </w:r>
      <w:r w:rsidR="00170442">
        <w:t xml:space="preserve">the </w:t>
      </w:r>
      <w:r w:rsidR="00984C8D">
        <w:t>recover</w:t>
      </w:r>
      <w:r w:rsidR="001A0248">
        <w:t>y</w:t>
      </w:r>
      <w:r w:rsidR="00984C8D">
        <w:t xml:space="preserve"> </w:t>
      </w:r>
      <w:r w:rsidR="001A0248">
        <w:t xml:space="preserve">of </w:t>
      </w:r>
      <w:r w:rsidR="00984C8D">
        <w:t>the tax losses of the global tax revenue from the controlled transactions of the transfer pricing</w:t>
      </w:r>
      <w:r w:rsidR="00170442">
        <w:t xml:space="preserve"> </w:t>
      </w:r>
      <w:r w:rsidR="00170442">
        <w:fldChar w:fldCharType="begin" w:fldLock="1"/>
      </w:r>
      <w:r w:rsidR="00F67AB7">
        <w:instrText>ADDIN CSL_CITATION {"citationItems":[{"id":"ITEM-1","itemData":{"DOI":"10.1111/j.1541-0072.2007.00251.x","ISSN":"0190292X","abstract":"Public policy has been a prisoner of the word \"state.\" Yet, the state is reconfigured by globalization. Through \"global public-private partnerships\" and \"transnational executive networks,\" new forms of authority are emerging through global and regional policy processes that coexist alongside nation-state policy processes. Accordingly, this article asks what is \"global public policy\"? The first part of the article identifies new public spaces where global policies occur. These spaces are multiple in character and variety and will be collectively referred to as the \"global agora.\" The second section adapts the conventional policy cycle heuristic by conceptually stretching it to the global and regional levels to reveal the higher degree of pluralization of actors and multiple-authority structures than is the case at national levels. The third section asks: who is involved in the delivery of global public policy? The focus is on transnational policy communities. The global agora is a public space of policymaking and administration, although it is one where authority is more diffuse, decision making is dispersed and sovereignty muddled. Trapped by methodological nationalism and an intellectual agoraphobia of globalization, public policy scholars have yet to examine fully global policy processes and new managerial modes of transnational public administration. © 2008 The Policy Studies Journal.","author":[{"dropping-particle":"","family":"Stone","given":"Diane","non-dropping-particle":"","parse-names":false,"suffix":""}],"container-title":"Policy Studies Journal","id":"ITEM-1","issue":"1","issued":{"date-parts":[["2008"]]},"title":"Global public policy, transnational policy communities, and their networks","type":"article-journal","volume":"36"},"uris":["http://www.mendeley.com/documents/?uuid=65da3cb3-a6bd-336e-a550-c4de28af2abb"]},{"id":"ITEM-2","itemData":{"DOI":"10.1177/1077800419857093","ISSN":"15527565","abstract":"This article focuses on public policies and programs as a major component of the “public sphere,” and argues that qualitative inquiry can make uniquely valuable contributions to their development and evaluation. These contributions include understanding (a) how people interpret and respond to such policies, (b) contextual variability and its effects on the implementation and consequences of these policies, and (c) the processes through which policies achieve their results. The movement for “evidence-based” policy and practice has largely ignored these issues, but they are critical for developing policies that actually achieve their goals and avoid unintended and damaging consequences.","author":[{"dropping-particle":"","family":"Maxwell","given":"Joseph A.","non-dropping-particle":"","parse-names":false,"suffix":""}],"container-title":"Qualitative Inquiry","id":"ITEM-2","issue":"2","issued":{"date-parts":[["2020"]]},"title":"The Value of Qualitative Inquiry for Public Policy","type":"article-journal","volume":"26"},"uris":["http://www.mendeley.com/documents/?uuid=fed02875-e216-3dcc-a9bd-e1553d9f90bd"]},{"id":"ITEM-3","itemData":{"DOI":"10.1080/2158379X.2012.735118","ISSN":"2158379X","abstract":"Through analysis of the Organisation for Economic Co-ordination and Development (OECD)'s recommendations to reform Nordic public and economic policy, this article seeks to assess the OECD's influence on Nordic politics. OECD recommendations are placed at the juncture of internationally acknowledged ideas and national traditions - thus being potentially useful for national policy-makers trying to deal with this tension. During the post-war period the Nordic countries found an original combination of international ideas and national traditions, involving a combination of economic efficiency and social equality. The OECD acknowledges this tradition in various ways but seeks to reform Nordic public policy according to a different, and in many ways opposing logic. OECD recommendations for Nordic countries typically include lower income taxes, lower levels of social security benefits, individual level wage setting, more relaxed employment protection legislation, an increase of the labour supply and a balanced budget. In spite of existing evidence of regime stability, it is not possible to exclude OECD influence on Nordic public and economic policy as past reforms correspond in many ways to these recommendations. This, in turn, raises the question of the democratic legitimacy of the way in which reforms are prepared. © 2012 Copyright Taylor and Francis Group, LLC.","author":[{"dropping-particle":"","family":"Kananen","given":"Johannes","non-dropping-particle":"","parse-names":false,"suffix":""}],"container-title":"Journal of Political Power","id":"ITEM-3","issue":"3","issued":{"date-parts":[["2012"]]},"title":"International ideas versus national traditions: Nordic economic and public policy as proposed by the OECD","type":"article-journal","volume":"5"},"uris":["http://www.mendeley.com/documents/?uuid=ac9fd151-ae0c-3ba4-a91a-b4cab009f8b0"]},{"id":"ITEM-4","itemData":{"author":[{"dropping-particle":"","family":"OECD","given":"EU","non-dropping-particle":"","parse-names":false,"suffix":""}],"container-title":"OECD","id":"ITEM-4","issued":{"date-parts":[["2020"]]},"title":"SME Policy Index - Eastern Partner Countries 2020 ASSESSING THE IMPLEMENTATION OF THE SMALL BUSINESS ACT FOR EUROPE","type":"book"},"uris":["http://www.mendeley.com/documents/?uuid=04af4f4b-ad6d-4fc5-976f-8ae9d04e760f"]},{"id":"ITEM-5","itemData":{"DOI":"10.1332/030557319X15613699681219","ISSN":"14708442","abstract":"Policy design is a type of policy formulation activity centred on knowledge application in the creation of policy alternatives. Expected to attain public sector goals and government ambitions in an effective fashion, it can be undertaken many different ways. The current literature on policy design features an ongoing debate between adherents of traditional approaches to the subject in the policy sciences and those importing into policymaking the insights of design practices in other fields such as industrial engineering and product development: 'design-thinking'. Issues examined in more traditional approaches to policy design are very wide-ranging and address a wide variety of formulation modalities and their strengths and weaknesses. Efforts to promote 'design-thinking' in the public policy realm, on the other hand, focus on policy innovation and rarely deal with issues such as the barriers to implementation, political feasibility or the constraints under which decision-making takes place. This article discusses these differences and argues adherents of design-thinking need to expand their reach and consider not only the circumstances facilitating the generation of novel ideas but also the lessons of more traditional approaches concerning the political and other challenges faced in policy formulation and implementation.","author":[{"dropping-particle":"","family":"Howlett","given":"Michael","non-dropping-particle":"","parse-names":false,"suffix":""}],"container-title":"Policy and politics","id":"ITEM-5","issue":"1","issued":{"date-parts":[["2020"]]},"title":"Challenges in applying design thinking to public policy: Dealing with the varieties of policy formulation and their vicissitudes","type":"article-journal","volume":"48"},"uris":["http://www.mendeley.com/documents/?uuid=6c0f308f-7886-317f-993b-966456951a8b"]},{"id":"ITEM-6","itemData":{"abstract":"Within the current global scenario, which strives for energy efficiency and environmental protection, there is discussion of tax incentive possibili- ties as environmentally-oriented public policy tools, in which taxes are not perceived as a traditional fundraising device (fiscal taxation), but rather through their non-fiscal potentiality (extrafiscality). The suggestions of tax policy models aimed at environmental protection found, as a case study, that the context of electric vehicles in Brazil is that they are the victims of legislation that does not take into consideration the basic principles of physics and ecology and does not envisage the most efficient and less pol- luting transportation models. Moreover, taking as a reference the success- ful public policies in other countries, the study proposes measures that include tax incentives for the development of sustainable transport in Bra- zil and take into account the new paradigm represented by electric vehicles.","author":[{"dropping-particle":"","family":"Domingues","given":"Jost Marcos","non-dropping-particle":"","parse-names":false,"suffix":""},{"dropping-particle":"","family":"Pecorelli-Pere","given":"Luiz Artur","non-dropping-particle":"","parse-names":false,"suffix":""}],"container-title":"LAW AND BUSINESS REVIEW OF THE AMERICAS","id":"ITEM-6","issue":"55","issued":{"date-parts":[["2013"]]},"title":"Electric vehicles, energy efficiency, taxes, and public policy in Brazil","type":"article-journal","volume":"19"},"uris":["http://www.mendeley.com/documents/?uuid=3d9f15f4-babc-3e8f-b02e-2486040400bc"]},{"id":"ITEM-7","itemData":{"DOI":"10.1007/s13132-016-0404-6","ISSN":"18687873","abstract":"This paper aims to examine the relationship between public debt, economic growth, and monetary policy in Tunisia. We study the contribution of fiscal shocks through public debt on monetary policy and on macroeconomic dynamics using the SVECM model and Granger causality over the period 2002–2013. Econometric analysis results indicate that public debt, monetary policy, and economic activity are interdependent. The causality approach showed a bidirectional causality relationship between public debt, economic growth and monetary policy. This study shows that monetary and fiscal policies affect real activity, inflation, and exchange rate in Tunisia. The conflicts between the objectives of fiscal and monetary authorities explain the high rate of inflation and the decline in activity.","author":[{"dropping-particle":"","family":"Abdelkafi","given":"Inès","non-dropping-particle":"","parse-names":false,"suffix":""}],"container-title":"Journal of the Knowledge Economy","id":"ITEM-7","issue":"4","issued":{"date-parts":[["2018"]]},"title":"The Relationship Between Public Debt, Economic Growth, and Monetary Policy: Empirical Evidence from Tunisia","type":"article-journal","volume":"9"},"uris":["http://www.mendeley.com/documents/?uuid=04313410-5c91-3c1c-8b7d-92d0b23f2cb2"]},{"id":"ITEM-8","itemData":{"DOI":"10.1086/ntj41789332","ISSN":"00280283","abstract":"Tax policy is a product of politics, so a complete understanding of tax policy requires an explicit recognition of the political environment within which tax policy is made. The paper emphasizes the concept of political costs associated with the tax system and discusses several aspects of tax policy using a public choice approach. The paper argues that the political costs associated with taxation can be minimized by embedding the tax system within a relatively inflexible fiscal constitution. Despite the insights the public choice perspective offers, most analysis of tax policy does not take public choice considerations into account.","author":[{"dropping-particle":"","family":"Holcombe","given":"Randall G.","non-dropping-particle":"","parse-names":false,"suffix":""}],"container-title":"National Tax Journal","id":"ITEM-8","issue":"2","issued":{"date-parts":[["1998"]]},"title":"Tax policy from a public choice perspective","type":"article-journal","volume":"51"},"uris":["http://www.mendeley.com/documents/?uuid=074ff007-e21b-3011-9ce8-428156b063cf"]},{"id":"ITEM-9","itemData":{"DOI":"10.32840/1814-1161/2020-2-30","ISSN":"1814-1161","author":[{"dropping-particle":"","family":"Kiktenko","given":"O.V.","non-dropping-particle":"","parse-names":false,"suffix":""}],"container-title":"State and regions. Series: Economics and Business","id":"ITEM-9","issue":"2 (113)","issued":{"date-parts":[["2020"]]},"title":"ECONOMIC FEATURES OF PUBLIC POLICY IMPLEMENTATION IN THE EDUCATION SYSTEM","type":"article-journal"},"uris":["http://www.mendeley.com/documents/?uuid=4fe42b32-216f-372d-9483-54910094e6f0"]}],"mendeley":{"formattedCitation":"(Abdelkafi, 2018; Domingues &amp; Pecorelli-Pere, 2013; Holcombe, 1998; Howlett, 2020; Kananen, 2012; Kiktenko, 2020; Maxwell, 2020; OECD, 2020; Stone, 2008)","plainTextFormattedCitation":"(Abdelkafi, 2018; Domingues &amp; Pecorelli-Pere, 2013; Holcombe, 1998; Howlett, 2020; Kananen, 2012; Kiktenko, 2020; Maxwell, 2020; OECD, 2020; Stone, 2008)","previouslyFormattedCitation":"(Abdelkafi, 2018; Domingues &amp; Pecorelli-Pere, 2013; Holcombe, 1998; Howlett, 2020; Kananen, 2012; Kiktenko, 2020; Maxwell, 2020; OECD, 2020; Stone, 2008)"},"properties":{"noteIndex":0},"schema":"https://github.com/citation-style-language/schema/raw/master/csl-citation.json"}</w:instrText>
      </w:r>
      <w:r w:rsidR="00170442">
        <w:fldChar w:fldCharType="separate"/>
      </w:r>
      <w:r w:rsidR="00170442" w:rsidRPr="00170442">
        <w:rPr>
          <w:noProof/>
        </w:rPr>
        <w:t>(Abdelkafi, 2018; Domingues &amp; Pecorelli-Pere, 2013; Holcombe, 1998; Howlett, 2020; Kananen, 2012; Kiktenko, 2020; Maxwell, 2020; OECD, 2020; Stone, 2008)</w:t>
      </w:r>
      <w:r w:rsidR="00170442">
        <w:fldChar w:fldCharType="end"/>
      </w:r>
      <w:r w:rsidR="00984C8D">
        <w:t xml:space="preserve">. </w:t>
      </w:r>
      <w:r w:rsidR="001A0248">
        <w:t>T</w:t>
      </w:r>
      <w:r w:rsidR="00984C8D">
        <w:t>he next scheme i</w:t>
      </w:r>
      <w:r w:rsidR="001A0248">
        <w:t>llustrates</w:t>
      </w:r>
      <w:r w:rsidR="00984C8D">
        <w:t xml:space="preserve"> the procedure that companies of controlled transactions follow for their allocations of profits and losses, the proportional adjustments of data, and the fixed length principle:</w:t>
      </w:r>
    </w:p>
    <w:p w14:paraId="32F7DBE3" w14:textId="15A5F8A9" w:rsidR="00984C8D" w:rsidRDefault="001A0248" w:rsidP="00984C8D">
      <w:pPr>
        <w:pStyle w:val="SSRNnormal"/>
      </w:pPr>
      <w:r>
        <w:t>Fig.</w:t>
      </w:r>
      <w:r w:rsidR="00984C8D">
        <w:t xml:space="preserve"> 1 </w:t>
      </w:r>
      <w:r>
        <w:t>determines</w:t>
      </w:r>
      <w:r w:rsidR="00984C8D">
        <w:t xml:space="preserve"> the procedure of the fixed length principle and its quantity analysis for the determination of the behavior of the model. </w:t>
      </w:r>
      <w:r>
        <w:t>T</w:t>
      </w:r>
      <w:r w:rsidR="00984C8D">
        <w:t xml:space="preserve">he next section </w:t>
      </w:r>
      <w:r>
        <w:t>presents</w:t>
      </w:r>
      <w:r w:rsidR="00984C8D">
        <w:t xml:space="preserve"> the theory of </w:t>
      </w:r>
      <w:proofErr w:type="gramStart"/>
      <w:r w:rsidR="00984C8D">
        <w:t>cycle</w:t>
      </w:r>
      <w:proofErr w:type="gramEnd"/>
      <w:r w:rsidR="00984C8D">
        <w:t xml:space="preserve"> of money. The applied methodology is the Q.E. method and its econometric approach.</w:t>
      </w:r>
    </w:p>
    <w:p w14:paraId="69BB6A88" w14:textId="7AC3FCE1" w:rsidR="00984C8D" w:rsidRDefault="001A0248" w:rsidP="001A0248">
      <w:pPr>
        <w:pStyle w:val="SSRNheading"/>
        <w:numPr>
          <w:ilvl w:val="0"/>
          <w:numId w:val="3"/>
        </w:numPr>
      </w:pPr>
      <w:r>
        <w:lastRenderedPageBreak/>
        <w:t>Methodology</w:t>
      </w:r>
    </w:p>
    <w:p w14:paraId="55F2BFCB" w14:textId="0F4AB8EF" w:rsidR="00984C8D" w:rsidRDefault="00984C8D" w:rsidP="00984C8D">
      <w:pPr>
        <w:pStyle w:val="SSRNnormal"/>
      </w:pPr>
      <w:r>
        <w:t xml:space="preserve">The tax revenues correspond to the savings that the companies could have if the taxes were avoided. The way that these savings are administrated is different from case to case. Then the benefits of the companies could be managed in a completely different way, as could be </w:t>
      </w:r>
      <w:proofErr w:type="gramStart"/>
      <w:r>
        <w:t>saved</w:t>
      </w:r>
      <w:proofErr w:type="gramEnd"/>
      <w:r>
        <w:t xml:space="preserve"> or could be taxed. The theory of </w:t>
      </w:r>
      <w:proofErr w:type="gramStart"/>
      <w:r>
        <w:t>cycle</w:t>
      </w:r>
      <w:proofErr w:type="gramEnd"/>
      <w:r>
        <w:t xml:space="preserve"> of money shows when the savings robust the economy and when the taxes robust the economy</w:t>
      </w:r>
      <w:r w:rsidR="005F3472">
        <w:t>.</w:t>
      </w:r>
      <w:r>
        <w:t xml:space="preserve"> </w:t>
      </w:r>
      <w:r w:rsidR="009D6EEA">
        <w:t>This determination must</w:t>
      </w:r>
      <w:r>
        <w:t xml:space="preserve"> be a separation of savings into the non-returned savings (or </w:t>
      </w:r>
      <w:r w:rsidR="001A0248">
        <w:t>escape</w:t>
      </w:r>
      <w:r>
        <w:t xml:space="preserve"> savings) and the returned savings (or enforcement savings:</w:t>
      </w:r>
    </w:p>
    <w:p w14:paraId="5CB4A729" w14:textId="4DEF4EF2" w:rsidR="00984C8D" w:rsidRPr="001A0248" w:rsidRDefault="00984C8D" w:rsidP="00984C8D">
      <w:pPr>
        <w:pStyle w:val="SSRNnormal"/>
      </w:pPr>
      <m:oMath>
        <m:r>
          <w:rPr>
            <w:rFonts w:ascii="Cambria Math" w:hAnsi="Cambria Math"/>
            <w:lang w:val="el-GR"/>
          </w:rPr>
          <m:t>α</m:t>
        </m:r>
        <m:r>
          <m:rPr>
            <m:sty m:val="p"/>
          </m:rPr>
          <w:rPr>
            <w:rFonts w:ascii="Cambria Math" w:hAnsi="Cambria Math"/>
          </w:rPr>
          <m:t xml:space="preserve">= </m:t>
        </m:r>
        <m:sSub>
          <m:sSubPr>
            <m:ctrlPr>
              <w:rPr>
                <w:rFonts w:ascii="Cambria Math" w:hAnsi="Cambria Math"/>
                <w:lang w:val="el-GR"/>
              </w:rPr>
            </m:ctrlPr>
          </m:sSubPr>
          <m:e>
            <m:r>
              <w:rPr>
                <w:rFonts w:ascii="Cambria Math" w:hAnsi="Cambria Math"/>
                <w:lang w:val="el-GR"/>
              </w:rPr>
              <m:t>α</m:t>
            </m:r>
          </m:e>
          <m:sub>
            <m:r>
              <w:rPr>
                <w:rFonts w:ascii="Cambria Math" w:hAnsi="Cambria Math"/>
              </w:rPr>
              <m:t>s</m:t>
            </m:r>
          </m:sub>
        </m:sSub>
      </m:oMath>
      <w:r w:rsidRPr="001A0248">
        <w:t xml:space="preserve">+ </w:t>
      </w:r>
      <m:oMath>
        <m:sSub>
          <m:sSubPr>
            <m:ctrlPr>
              <w:rPr>
                <w:rFonts w:ascii="Cambria Math" w:hAnsi="Cambria Math"/>
                <w:lang w:val="el-GR"/>
              </w:rPr>
            </m:ctrlPr>
          </m:sSubPr>
          <m:e>
            <m:r>
              <w:rPr>
                <w:rFonts w:ascii="Cambria Math" w:hAnsi="Cambria Math"/>
                <w:lang w:val="el-GR"/>
              </w:rPr>
              <m:t>α</m:t>
            </m:r>
          </m:e>
          <m:sub>
            <m:r>
              <w:rPr>
                <w:rFonts w:ascii="Cambria Math" w:hAnsi="Cambria Math"/>
              </w:rPr>
              <m:t>t</m:t>
            </m:r>
          </m:sub>
        </m:sSub>
      </m:oMath>
      <w:r w:rsidR="001A0248">
        <w:t xml:space="preserve"> </w:t>
      </w:r>
      <w:r w:rsidR="001A0248" w:rsidRPr="001A0248">
        <w:t xml:space="preserve">or </w:t>
      </w:r>
      <w:r w:rsidRPr="001A0248">
        <w:t xml:space="preserve"> </w:t>
      </w:r>
      <m:oMath>
        <m:f>
          <m:fPr>
            <m:ctrlPr>
              <w:rPr>
                <w:rFonts w:ascii="Cambria Math" w:hAnsi="Cambria Math"/>
                <w:lang w:val="el-GR"/>
              </w:rPr>
            </m:ctrlPr>
          </m:fPr>
          <m:num>
            <m:r>
              <m:rPr>
                <m:sty m:val="p"/>
              </m:rPr>
              <w:rPr>
                <w:rFonts w:ascii="Cambria Math" w:hAnsi="Cambria Math"/>
              </w:rPr>
              <m:t>1</m:t>
            </m:r>
          </m:num>
          <m:den>
            <m:r>
              <w:rPr>
                <w:rFonts w:ascii="Cambria Math" w:hAnsi="Cambria Math"/>
                <w:lang w:val="el-GR"/>
              </w:rPr>
              <m:t>v</m:t>
            </m:r>
          </m:den>
        </m:f>
        <m:r>
          <m:rPr>
            <m:sty m:val="p"/>
          </m:rPr>
          <w:rPr>
            <w:rFonts w:ascii="Cambria Math" w:hAnsi="Cambria Math"/>
          </w:rPr>
          <m:t>+</m:t>
        </m:r>
        <m:sSub>
          <m:sSubPr>
            <m:ctrlPr>
              <w:rPr>
                <w:rFonts w:ascii="Cambria Math" w:hAnsi="Cambria Math"/>
                <w:lang w:val="el-GR"/>
              </w:rPr>
            </m:ctrlPr>
          </m:sSubPr>
          <m:e>
            <m:r>
              <w:rPr>
                <w:rFonts w:ascii="Cambria Math" w:hAnsi="Cambria Math"/>
                <w:lang w:val="el-GR"/>
              </w:rPr>
              <m:t>α</m:t>
            </m:r>
          </m:e>
          <m:sub>
            <m:r>
              <w:rPr>
                <w:rFonts w:ascii="Cambria Math" w:hAnsi="Cambria Math"/>
              </w:rPr>
              <m:t>t</m:t>
            </m:r>
          </m:sub>
        </m:sSub>
      </m:oMath>
      <w:r w:rsidRPr="001A0248">
        <w:tab/>
      </w:r>
      <w:r w:rsidRPr="001A0248">
        <w:tab/>
      </w:r>
      <w:r w:rsidRPr="001A0248">
        <w:tab/>
      </w:r>
      <w:r w:rsidRPr="001A0248">
        <w:tab/>
      </w:r>
      <w:r w:rsidRPr="001A0248">
        <w:tab/>
      </w:r>
      <w:r w:rsidRPr="001A0248">
        <w:tab/>
      </w:r>
      <w:r w:rsidRPr="001A0248">
        <w:tab/>
      </w:r>
      <w:r w:rsidRPr="001A0248">
        <w:tab/>
      </w:r>
      <w:r w:rsidRPr="001A0248">
        <w:tab/>
        <w:t>(</w:t>
      </w:r>
      <w:r w:rsidR="001A0248">
        <w:t>6</w:t>
      </w:r>
      <w:r w:rsidRPr="001A0248">
        <w:t>)</w:t>
      </w:r>
    </w:p>
    <w:p w14:paraId="197DB6A0" w14:textId="56FFF6D1" w:rsidR="00984C8D" w:rsidRDefault="00000000" w:rsidP="00984C8D">
      <w:pPr>
        <w:pStyle w:val="SSRNnormal"/>
        <w:rPr>
          <w:lang w:val="el-GR"/>
        </w:rPr>
      </w:pPr>
      <m:oMath>
        <m:sSub>
          <m:sSubPr>
            <m:ctrlPr>
              <w:rPr>
                <w:rFonts w:ascii="Cambria Math" w:hAnsi="Cambria Math"/>
              </w:rPr>
            </m:ctrlPr>
          </m:sSubPr>
          <m:e>
            <m:r>
              <w:rPr>
                <w:rFonts w:ascii="Cambria Math" w:hAnsi="Cambria Math"/>
              </w:rPr>
              <m:t>x</m:t>
            </m:r>
          </m:e>
          <m:sub>
            <m:r>
              <w:rPr>
                <w:rFonts w:ascii="Cambria Math" w:hAnsi="Cambria Math"/>
              </w:rPr>
              <m:t>m</m:t>
            </m:r>
          </m:sub>
        </m:sSub>
        <m:r>
          <m:rPr>
            <m:sty m:val="p"/>
          </m:rPr>
          <w:rPr>
            <w:rFonts w:ascii="Cambria Math" w:hAnsi="Cambria Math"/>
            <w:lang w:val="el-GR"/>
          </w:rPr>
          <m:t>=</m:t>
        </m:r>
        <m:r>
          <w:rPr>
            <w:rFonts w:ascii="Cambria Math" w:hAnsi="Cambria Math"/>
          </w:rPr>
          <m:t>m</m:t>
        </m:r>
        <m:r>
          <m:rPr>
            <m:sty m:val="p"/>
          </m:rPr>
          <w:rPr>
            <w:rFonts w:ascii="Cambria Math" w:hAnsi="Cambria Math"/>
            <w:lang w:val="el-GR"/>
          </w:rPr>
          <m:t>-</m:t>
        </m:r>
        <m:r>
          <w:rPr>
            <w:rFonts w:ascii="Cambria Math" w:hAnsi="Cambria Math"/>
          </w:rPr>
          <m:t>a</m:t>
        </m:r>
      </m:oMath>
      <w:r w:rsidR="00984C8D">
        <w:rPr>
          <w:lang w:val="el-GR"/>
        </w:rPr>
        <w:tab/>
      </w:r>
      <w:r w:rsidR="00984C8D">
        <w:rPr>
          <w:lang w:val="el-GR"/>
        </w:rPr>
        <w:tab/>
      </w:r>
      <w:r w:rsidR="00984C8D">
        <w:rPr>
          <w:lang w:val="el-GR"/>
        </w:rPr>
        <w:tab/>
      </w:r>
      <w:r w:rsidR="00984C8D">
        <w:rPr>
          <w:lang w:val="el-GR"/>
        </w:rPr>
        <w:tab/>
      </w:r>
      <w:r w:rsidR="00984C8D">
        <w:rPr>
          <w:lang w:val="el-GR"/>
        </w:rPr>
        <w:tab/>
      </w:r>
      <w:r w:rsidR="00984C8D">
        <w:rPr>
          <w:lang w:val="el-GR"/>
        </w:rPr>
        <w:tab/>
      </w:r>
      <w:r w:rsidR="00984C8D">
        <w:rPr>
          <w:lang w:val="el-GR"/>
        </w:rPr>
        <w:tab/>
      </w:r>
      <w:r w:rsidR="00984C8D">
        <w:rPr>
          <w:lang w:val="el-GR"/>
        </w:rPr>
        <w:tab/>
      </w:r>
      <w:r w:rsidR="00984C8D">
        <w:rPr>
          <w:lang w:val="el-GR"/>
        </w:rPr>
        <w:tab/>
      </w:r>
      <w:r w:rsidR="00984C8D">
        <w:rPr>
          <w:lang w:val="el-GR"/>
        </w:rPr>
        <w:tab/>
      </w:r>
      <w:r w:rsidR="00984C8D">
        <w:rPr>
          <w:lang w:val="el-GR"/>
        </w:rPr>
        <w:tab/>
        <w:t>(</w:t>
      </w:r>
      <w:r w:rsidR="001A0248">
        <w:rPr>
          <w:lang w:val="el-GR"/>
        </w:rPr>
        <w:t>7</w:t>
      </w:r>
      <w:r w:rsidR="00984C8D">
        <w:rPr>
          <w:lang w:val="el-GR"/>
        </w:rPr>
        <w:t>)</w:t>
      </w:r>
    </w:p>
    <w:p w14:paraId="06D3CCBA" w14:textId="026D5827" w:rsidR="00984C8D" w:rsidRDefault="00984C8D" w:rsidP="00984C8D">
      <w:pPr>
        <w:pStyle w:val="SSRNnormal"/>
        <w:rPr>
          <w:lang w:val="el-GR"/>
        </w:rPr>
      </w:pPr>
      <w:r>
        <w:t>m</w:t>
      </w:r>
      <w:r>
        <w:rPr>
          <w:lang w:val="el-GR"/>
        </w:rPr>
        <w:t xml:space="preserve"> = μ + </w:t>
      </w:r>
      <m:oMath>
        <m:sSub>
          <m:sSubPr>
            <m:ctrlPr>
              <w:rPr>
                <w:rFonts w:ascii="Cambria Math" w:hAnsi="Cambria Math"/>
                <w:lang w:val="el-GR"/>
              </w:rPr>
            </m:ctrlPr>
          </m:sSubPr>
          <m:e>
            <m:r>
              <w:rPr>
                <w:rFonts w:ascii="Cambria Math" w:hAnsi="Cambria Math"/>
                <w:lang w:val="el-GR"/>
              </w:rPr>
              <m:t>α</m:t>
            </m:r>
          </m:e>
          <m:sub>
            <m:r>
              <w:rPr>
                <w:rFonts w:ascii="Cambria Math" w:hAnsi="Cambria Math"/>
              </w:rPr>
              <m:t>p</m:t>
            </m:r>
          </m:sub>
        </m:sSub>
      </m:oMath>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t>(</w:t>
      </w:r>
      <w:r w:rsidR="001A0248">
        <w:rPr>
          <w:lang w:val="el-GR"/>
        </w:rPr>
        <w:t>8</w:t>
      </w:r>
      <w:r>
        <w:rPr>
          <w:lang w:val="el-GR"/>
        </w:rPr>
        <w:t>)</w:t>
      </w:r>
    </w:p>
    <w:p w14:paraId="0661C2AE" w14:textId="5F773394" w:rsidR="00984C8D" w:rsidRDefault="00984C8D" w:rsidP="00984C8D">
      <w:pPr>
        <w:pStyle w:val="SSRNnormal"/>
        <w:rPr>
          <w:lang w:val="el-GR"/>
        </w:rPr>
      </w:pPr>
      <w:r>
        <w:rPr>
          <w:lang w:val="el-GR"/>
        </w:rPr>
        <w:t xml:space="preserve">μ = </w:t>
      </w:r>
      <m:oMath>
        <m:nary>
          <m:naryPr>
            <m:chr m:val="∑"/>
            <m:limLoc m:val="subSup"/>
            <m:ctrlPr>
              <w:rPr>
                <w:rFonts w:ascii="Cambria Math" w:hAnsi="Cambria Math"/>
                <w:lang w:val="el-GR"/>
              </w:rPr>
            </m:ctrlPr>
          </m:naryPr>
          <m:sub>
            <m:r>
              <w:rPr>
                <w:rFonts w:ascii="Cambria Math" w:hAnsi="Cambria Math"/>
                <w:lang w:val="el-GR"/>
              </w:rPr>
              <m:t>ι</m:t>
            </m:r>
            <m:r>
              <m:rPr>
                <m:sty m:val="p"/>
              </m:rPr>
              <w:rPr>
                <w:rFonts w:ascii="Cambria Math" w:hAnsi="Cambria Math"/>
                <w:lang w:val="el-GR"/>
              </w:rPr>
              <m:t>=0</m:t>
            </m:r>
          </m:sub>
          <m:sup>
            <m:r>
              <w:rPr>
                <w:rFonts w:ascii="Cambria Math" w:hAnsi="Cambria Math"/>
                <w:lang w:val="el-GR"/>
              </w:rPr>
              <m:t>n</m:t>
            </m:r>
          </m:sup>
          <m:e>
            <m:sSub>
              <m:sSubPr>
                <m:ctrlPr>
                  <w:rPr>
                    <w:rFonts w:ascii="Cambria Math" w:hAnsi="Cambria Math"/>
                    <w:lang w:val="el-GR"/>
                  </w:rPr>
                </m:ctrlPr>
              </m:sSubPr>
              <m:e>
                <m:r>
                  <w:rPr>
                    <w:rFonts w:ascii="Cambria Math" w:hAnsi="Cambria Math"/>
                    <w:lang w:val="el-GR"/>
                  </w:rPr>
                  <m:t>μ</m:t>
                </m:r>
              </m:e>
              <m:sub>
                <m:r>
                  <w:rPr>
                    <w:rFonts w:ascii="Cambria Math" w:hAnsi="Cambria Math"/>
                    <w:lang w:val="el-GR"/>
                  </w:rPr>
                  <m:t>ι</m:t>
                </m:r>
              </m:sub>
            </m:sSub>
          </m:e>
        </m:nary>
      </m:oMath>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t>(</w:t>
      </w:r>
      <w:r w:rsidR="001A0248">
        <w:rPr>
          <w:lang w:val="el-GR"/>
        </w:rPr>
        <w:t>9</w:t>
      </w:r>
      <w:r>
        <w:rPr>
          <w:lang w:val="el-GR"/>
        </w:rPr>
        <w:t>)</w:t>
      </w:r>
    </w:p>
    <w:p w14:paraId="6F764F25" w14:textId="29504EA9" w:rsidR="00984C8D" w:rsidRDefault="00000000" w:rsidP="00984C8D">
      <w:pPr>
        <w:pStyle w:val="SSRNnormal"/>
        <w:rPr>
          <w:lang w:val="el-GR"/>
        </w:rPr>
      </w:pPr>
      <m:oMath>
        <m:sSub>
          <m:sSubPr>
            <m:ctrlPr>
              <w:rPr>
                <w:rFonts w:ascii="Cambria Math" w:hAnsi="Cambria Math"/>
                <w:lang w:val="el-GR"/>
              </w:rPr>
            </m:ctrlPr>
          </m:sSubPr>
          <m:e>
            <m:r>
              <w:rPr>
                <w:rFonts w:ascii="Cambria Math" w:hAnsi="Cambria Math"/>
                <w:lang w:val="el-GR"/>
              </w:rPr>
              <m:t>α</m:t>
            </m:r>
          </m:e>
          <m:sub>
            <m:r>
              <w:rPr>
                <w:rFonts w:ascii="Cambria Math" w:hAnsi="Cambria Math"/>
              </w:rPr>
              <m:t>p</m:t>
            </m:r>
          </m:sub>
        </m:sSub>
        <m:r>
          <m:rPr>
            <m:sty m:val="p"/>
          </m:rPr>
          <w:rPr>
            <w:rFonts w:ascii="Cambria Math" w:hAnsi="Cambria Math"/>
            <w:lang w:val="el-GR"/>
          </w:rPr>
          <m:t>=</m:t>
        </m:r>
        <m:nary>
          <m:naryPr>
            <m:chr m:val="∑"/>
            <m:limLoc m:val="subSup"/>
            <m:ctrlPr>
              <w:rPr>
                <w:rFonts w:ascii="Cambria Math" w:hAnsi="Cambria Math"/>
                <w:lang w:val="el-GR"/>
              </w:rPr>
            </m:ctrlPr>
          </m:naryPr>
          <m:sub>
            <m:r>
              <w:rPr>
                <w:rFonts w:ascii="Cambria Math" w:hAnsi="Cambria Math"/>
              </w:rPr>
              <m:t>j</m:t>
            </m:r>
            <m:r>
              <m:rPr>
                <m:sty m:val="p"/>
              </m:rPr>
              <w:rPr>
                <w:rFonts w:ascii="Cambria Math" w:hAnsi="Cambria Math"/>
                <w:lang w:val="el-GR"/>
              </w:rPr>
              <m:t>=0</m:t>
            </m:r>
          </m:sub>
          <m:sup>
            <m:r>
              <w:rPr>
                <w:rFonts w:ascii="Cambria Math" w:hAnsi="Cambria Math"/>
                <w:lang w:val="el-GR"/>
              </w:rPr>
              <m:t>m</m:t>
            </m:r>
          </m:sup>
          <m:e>
            <m:sSub>
              <m:sSubPr>
                <m:ctrlPr>
                  <w:rPr>
                    <w:rFonts w:ascii="Cambria Math" w:hAnsi="Cambria Math"/>
                    <w:lang w:val="el-GR"/>
                  </w:rPr>
                </m:ctrlPr>
              </m:sSubPr>
              <m:e>
                <m:r>
                  <w:rPr>
                    <w:rFonts w:ascii="Cambria Math" w:hAnsi="Cambria Math"/>
                    <w:lang w:val="el-GR"/>
                  </w:rPr>
                  <m:t>α</m:t>
                </m:r>
              </m:e>
              <m:sub>
                <m:r>
                  <w:rPr>
                    <w:rFonts w:ascii="Cambria Math" w:hAnsi="Cambria Math"/>
                  </w:rPr>
                  <m:t>pj</m:t>
                </m:r>
              </m:sub>
            </m:sSub>
          </m:e>
        </m:nary>
      </m:oMath>
      <w:r w:rsidR="00984C8D">
        <w:rPr>
          <w:lang w:val="el-GR"/>
        </w:rPr>
        <w:tab/>
      </w:r>
      <w:r w:rsidR="00984C8D">
        <w:rPr>
          <w:lang w:val="el-GR"/>
        </w:rPr>
        <w:tab/>
      </w:r>
      <w:r w:rsidR="00984C8D">
        <w:rPr>
          <w:lang w:val="el-GR"/>
        </w:rPr>
        <w:tab/>
      </w:r>
      <w:r w:rsidR="00984C8D">
        <w:rPr>
          <w:lang w:val="el-GR"/>
        </w:rPr>
        <w:tab/>
      </w:r>
      <w:r w:rsidR="00984C8D">
        <w:rPr>
          <w:lang w:val="el-GR"/>
        </w:rPr>
        <w:tab/>
      </w:r>
      <w:r w:rsidR="00984C8D">
        <w:rPr>
          <w:lang w:val="el-GR"/>
        </w:rPr>
        <w:tab/>
      </w:r>
      <w:r w:rsidR="00984C8D">
        <w:rPr>
          <w:lang w:val="el-GR"/>
        </w:rPr>
        <w:tab/>
      </w:r>
      <w:r w:rsidR="00984C8D">
        <w:rPr>
          <w:lang w:val="el-GR"/>
        </w:rPr>
        <w:tab/>
      </w:r>
      <w:r w:rsidR="00984C8D">
        <w:rPr>
          <w:lang w:val="el-GR"/>
        </w:rPr>
        <w:tab/>
      </w:r>
      <w:r w:rsidR="00984C8D">
        <w:rPr>
          <w:lang w:val="el-GR"/>
        </w:rPr>
        <w:tab/>
      </w:r>
      <w:r w:rsidR="00984C8D">
        <w:rPr>
          <w:lang w:val="el-GR"/>
        </w:rPr>
        <w:tab/>
        <w:t>(</w:t>
      </w:r>
      <w:r w:rsidR="001A0248">
        <w:rPr>
          <w:lang w:val="el-GR"/>
        </w:rPr>
        <w:t>10</w:t>
      </w:r>
      <w:r w:rsidR="00984C8D">
        <w:rPr>
          <w:lang w:val="el-GR"/>
        </w:rPr>
        <w:t>)</w:t>
      </w:r>
    </w:p>
    <w:p w14:paraId="28C738A7" w14:textId="18E71F64" w:rsidR="00984C8D" w:rsidRDefault="00000000" w:rsidP="00984C8D">
      <w:pPr>
        <w:pStyle w:val="SSRNnormal"/>
        <w:rPr>
          <w:lang w:val="el-GR"/>
        </w:rPr>
      </w:pPr>
      <m:oMath>
        <m:sSub>
          <m:sSubPr>
            <m:ctrlPr>
              <w:rPr>
                <w:rFonts w:ascii="Cambria Math" w:hAnsi="Cambria Math"/>
                <w:lang w:val="el-GR"/>
              </w:rPr>
            </m:ctrlPr>
          </m:sSubPr>
          <m:e>
            <m:r>
              <w:rPr>
                <w:rFonts w:ascii="Cambria Math" w:hAnsi="Cambria Math"/>
              </w:rPr>
              <m:t>c</m:t>
            </m:r>
          </m:e>
          <m:sub>
            <m:r>
              <w:rPr>
                <w:rFonts w:ascii="Cambria Math" w:hAnsi="Cambria Math"/>
                <w:lang w:val="el-GR"/>
              </w:rPr>
              <m:t>m</m:t>
            </m:r>
          </m:sub>
        </m:sSub>
        <m:r>
          <m:rPr>
            <m:sty m:val="p"/>
          </m:rPr>
          <w:rPr>
            <w:rFonts w:ascii="Cambria Math" w:hAnsi="Cambria Math"/>
            <w:lang w:val="el-GR"/>
          </w:rPr>
          <m:t>=</m:t>
        </m:r>
        <m:f>
          <m:fPr>
            <m:ctrlPr>
              <w:rPr>
                <w:rFonts w:ascii="Cambria Math" w:hAnsi="Cambria Math"/>
                <w:lang w:val="el-GR"/>
              </w:rPr>
            </m:ctrlPr>
          </m:fPr>
          <m:num>
            <m:r>
              <w:rPr>
                <w:rFonts w:ascii="Cambria Math" w:hAnsi="Cambria Math"/>
                <w:lang w:val="el-GR"/>
              </w:rPr>
              <m:t>d</m:t>
            </m:r>
            <m:sSub>
              <m:sSubPr>
                <m:ctrlPr>
                  <w:rPr>
                    <w:rFonts w:ascii="Cambria Math" w:hAnsi="Cambria Math"/>
                  </w:rPr>
                </m:ctrlPr>
              </m:sSubPr>
              <m:e>
                <m:r>
                  <w:rPr>
                    <w:rFonts w:ascii="Cambria Math" w:hAnsi="Cambria Math"/>
                  </w:rPr>
                  <m:t>x</m:t>
                </m:r>
              </m:e>
              <m:sub>
                <m:r>
                  <w:rPr>
                    <w:rFonts w:ascii="Cambria Math" w:hAnsi="Cambria Math"/>
                  </w:rPr>
                  <m:t>m</m:t>
                </m:r>
              </m:sub>
            </m:sSub>
          </m:num>
          <m:den>
            <m:r>
              <w:rPr>
                <w:rFonts w:ascii="Cambria Math" w:hAnsi="Cambria Math"/>
                <w:lang w:val="el-GR"/>
              </w:rPr>
              <m:t>da</m:t>
            </m:r>
          </m:den>
        </m:f>
      </m:oMath>
      <w:r w:rsidR="00984C8D">
        <w:rPr>
          <w:lang w:val="el-GR"/>
        </w:rPr>
        <w:tab/>
      </w:r>
      <w:r w:rsidR="00984C8D">
        <w:rPr>
          <w:lang w:val="el-GR"/>
        </w:rPr>
        <w:tab/>
      </w:r>
      <w:r w:rsidR="00984C8D">
        <w:rPr>
          <w:lang w:val="el-GR"/>
        </w:rPr>
        <w:tab/>
      </w:r>
      <w:r w:rsidR="00984C8D">
        <w:rPr>
          <w:lang w:val="el-GR"/>
        </w:rPr>
        <w:tab/>
      </w:r>
      <w:r w:rsidR="00984C8D">
        <w:rPr>
          <w:lang w:val="el-GR"/>
        </w:rPr>
        <w:tab/>
      </w:r>
      <w:r w:rsidR="00984C8D">
        <w:rPr>
          <w:lang w:val="el-GR"/>
        </w:rPr>
        <w:tab/>
      </w:r>
      <w:r w:rsidR="00984C8D">
        <w:rPr>
          <w:lang w:val="el-GR"/>
        </w:rPr>
        <w:tab/>
      </w:r>
      <w:r w:rsidR="00984C8D">
        <w:rPr>
          <w:lang w:val="el-GR"/>
        </w:rPr>
        <w:tab/>
      </w:r>
      <w:r w:rsidR="00984C8D">
        <w:rPr>
          <w:lang w:val="el-GR"/>
        </w:rPr>
        <w:tab/>
      </w:r>
      <w:r w:rsidR="00984C8D">
        <w:rPr>
          <w:lang w:val="el-GR"/>
        </w:rPr>
        <w:tab/>
      </w:r>
      <w:r w:rsidR="00984C8D">
        <w:rPr>
          <w:lang w:val="el-GR"/>
        </w:rPr>
        <w:tab/>
        <w:t>(</w:t>
      </w:r>
      <w:r w:rsidR="001A0248">
        <w:rPr>
          <w:lang w:val="el-GR"/>
        </w:rPr>
        <w:t>11</w:t>
      </w:r>
      <w:r w:rsidR="00984C8D">
        <w:rPr>
          <w:lang w:val="el-GR"/>
        </w:rPr>
        <w:t>)</w:t>
      </w:r>
    </w:p>
    <w:p w14:paraId="7DD51C08" w14:textId="033B7322" w:rsidR="00984C8D" w:rsidRDefault="00000000" w:rsidP="00984C8D">
      <w:pPr>
        <w:pStyle w:val="SSRNnormal"/>
        <w:rPr>
          <w:lang w:val="el-GR"/>
        </w:rPr>
      </w:pPr>
      <m:oMath>
        <m:sSub>
          <m:sSubPr>
            <m:ctrlPr>
              <w:rPr>
                <w:rFonts w:ascii="Cambria Math" w:hAnsi="Cambria Math"/>
                <w:lang w:val="el-GR"/>
              </w:rPr>
            </m:ctrlPr>
          </m:sSubPr>
          <m:e>
            <m:r>
              <w:rPr>
                <w:rFonts w:ascii="Cambria Math" w:hAnsi="Cambria Math"/>
              </w:rPr>
              <m:t>c</m:t>
            </m:r>
          </m:e>
          <m:sub>
            <m:r>
              <w:rPr>
                <w:rFonts w:ascii="Cambria Math" w:hAnsi="Cambria Math"/>
                <w:lang w:val="el-GR"/>
              </w:rPr>
              <m:t>α</m:t>
            </m:r>
          </m:sub>
        </m:sSub>
        <m:r>
          <m:rPr>
            <m:sty m:val="p"/>
          </m:rPr>
          <w:rPr>
            <w:rFonts w:ascii="Cambria Math" w:hAnsi="Cambria Math"/>
            <w:lang w:val="el-GR"/>
          </w:rPr>
          <m:t>=</m:t>
        </m:r>
        <m:f>
          <m:fPr>
            <m:ctrlPr>
              <w:rPr>
                <w:rFonts w:ascii="Cambria Math" w:hAnsi="Cambria Math"/>
                <w:lang w:val="el-GR"/>
              </w:rPr>
            </m:ctrlPr>
          </m:fPr>
          <m:num>
            <m:r>
              <w:rPr>
                <w:rFonts w:ascii="Cambria Math" w:hAnsi="Cambria Math"/>
                <w:lang w:val="el-GR"/>
              </w:rPr>
              <m:t>d</m:t>
            </m:r>
            <m:sSub>
              <m:sSubPr>
                <m:ctrlPr>
                  <w:rPr>
                    <w:rFonts w:ascii="Cambria Math" w:hAnsi="Cambria Math"/>
                  </w:rPr>
                </m:ctrlPr>
              </m:sSubPr>
              <m:e>
                <m:r>
                  <w:rPr>
                    <w:rFonts w:ascii="Cambria Math" w:hAnsi="Cambria Math"/>
                  </w:rPr>
                  <m:t>x</m:t>
                </m:r>
              </m:e>
              <m:sub>
                <m:r>
                  <w:rPr>
                    <w:rFonts w:ascii="Cambria Math" w:hAnsi="Cambria Math"/>
                  </w:rPr>
                  <m:t>m</m:t>
                </m:r>
              </m:sub>
            </m:sSub>
          </m:num>
          <m:den>
            <m:r>
              <w:rPr>
                <w:rFonts w:ascii="Cambria Math" w:hAnsi="Cambria Math"/>
                <w:lang w:val="el-GR"/>
              </w:rPr>
              <m:t>dm</m:t>
            </m:r>
          </m:den>
        </m:f>
      </m:oMath>
      <w:r w:rsidR="00984C8D">
        <w:rPr>
          <w:lang w:val="el-GR"/>
        </w:rPr>
        <w:tab/>
      </w:r>
      <w:r w:rsidR="00984C8D">
        <w:rPr>
          <w:lang w:val="el-GR"/>
        </w:rPr>
        <w:tab/>
      </w:r>
      <w:r w:rsidR="00984C8D">
        <w:rPr>
          <w:lang w:val="el-GR"/>
        </w:rPr>
        <w:tab/>
      </w:r>
      <w:r w:rsidR="00984C8D">
        <w:rPr>
          <w:lang w:val="el-GR"/>
        </w:rPr>
        <w:tab/>
      </w:r>
      <w:r w:rsidR="00984C8D">
        <w:rPr>
          <w:lang w:val="el-GR"/>
        </w:rPr>
        <w:tab/>
      </w:r>
      <w:r w:rsidR="00984C8D">
        <w:rPr>
          <w:lang w:val="el-GR"/>
        </w:rPr>
        <w:tab/>
      </w:r>
      <w:r w:rsidR="00984C8D">
        <w:rPr>
          <w:lang w:val="el-GR"/>
        </w:rPr>
        <w:tab/>
      </w:r>
      <w:r w:rsidR="00984C8D">
        <w:rPr>
          <w:lang w:val="el-GR"/>
        </w:rPr>
        <w:tab/>
      </w:r>
      <w:r w:rsidR="00984C8D">
        <w:rPr>
          <w:lang w:val="el-GR"/>
        </w:rPr>
        <w:tab/>
      </w:r>
      <w:r w:rsidR="00984C8D">
        <w:rPr>
          <w:lang w:val="el-GR"/>
        </w:rPr>
        <w:tab/>
      </w:r>
      <w:r w:rsidR="00984C8D">
        <w:rPr>
          <w:lang w:val="el-GR"/>
        </w:rPr>
        <w:tab/>
        <w:t>(</w:t>
      </w:r>
      <w:r w:rsidR="001A0248">
        <w:rPr>
          <w:lang w:val="el-GR"/>
        </w:rPr>
        <w:t>12</w:t>
      </w:r>
      <w:r w:rsidR="00984C8D">
        <w:rPr>
          <w:lang w:val="el-GR"/>
        </w:rPr>
        <w:t>)</w:t>
      </w:r>
    </w:p>
    <w:p w14:paraId="73A1560A" w14:textId="428873D8" w:rsidR="00984C8D" w:rsidRPr="001A0248" w:rsidRDefault="00000000" w:rsidP="00984C8D">
      <w:pPr>
        <w:pStyle w:val="SSRNnormal"/>
        <w:rPr>
          <w:lang w:val="el-GR"/>
        </w:rPr>
      </w:pPr>
      <m:oMath>
        <m:sSub>
          <m:sSubPr>
            <m:ctrlPr>
              <w:rPr>
                <w:rFonts w:ascii="Cambria Math" w:hAnsi="Cambria Math"/>
                <w:lang w:val="el-GR"/>
              </w:rPr>
            </m:ctrlPr>
          </m:sSubPr>
          <m:e>
            <m:r>
              <w:rPr>
                <w:rFonts w:ascii="Cambria Math" w:hAnsi="Cambria Math"/>
              </w:rPr>
              <m:t>c</m:t>
            </m:r>
          </m:e>
          <m:sub>
            <m:r>
              <w:rPr>
                <w:rFonts w:ascii="Cambria Math" w:hAnsi="Cambria Math"/>
              </w:rPr>
              <m:t>y</m:t>
            </m:r>
          </m:sub>
        </m:sSub>
        <m:r>
          <m:rPr>
            <m:sty m:val="p"/>
          </m:rPr>
          <w:rPr>
            <w:rFonts w:ascii="Cambria Math" w:hAnsi="Cambria Math"/>
            <w:lang w:val="el-GR"/>
          </w:rPr>
          <m:t>=</m:t>
        </m:r>
        <m:sSub>
          <m:sSubPr>
            <m:ctrlPr>
              <w:rPr>
                <w:rFonts w:ascii="Cambria Math" w:hAnsi="Cambria Math"/>
                <w:lang w:val="el-GR"/>
              </w:rPr>
            </m:ctrlPr>
          </m:sSubPr>
          <m:e>
            <m:r>
              <w:rPr>
                <w:rFonts w:ascii="Cambria Math" w:hAnsi="Cambria Math"/>
              </w:rPr>
              <m:t>c</m:t>
            </m:r>
          </m:e>
          <m:sub>
            <m:r>
              <w:rPr>
                <w:rFonts w:ascii="Cambria Math" w:hAnsi="Cambria Math"/>
                <w:lang w:val="el-GR"/>
              </w:rPr>
              <m:t>m</m:t>
            </m:r>
          </m:sub>
        </m:sSub>
        <m:r>
          <m:rPr>
            <m:sty m:val="p"/>
          </m:rPr>
          <w:rPr>
            <w:rFonts w:ascii="Cambria Math" w:hAnsi="Cambria Math"/>
            <w:lang w:val="el-GR"/>
          </w:rPr>
          <m:t>-</m:t>
        </m:r>
        <m:sSub>
          <m:sSubPr>
            <m:ctrlPr>
              <w:rPr>
                <w:rFonts w:ascii="Cambria Math" w:hAnsi="Cambria Math"/>
                <w:lang w:val="el-GR"/>
              </w:rPr>
            </m:ctrlPr>
          </m:sSubPr>
          <m:e>
            <m:r>
              <w:rPr>
                <w:rFonts w:ascii="Cambria Math" w:hAnsi="Cambria Math"/>
              </w:rPr>
              <m:t>c</m:t>
            </m:r>
          </m:e>
          <m:sub>
            <m:r>
              <w:rPr>
                <w:rFonts w:ascii="Cambria Math" w:hAnsi="Cambria Math"/>
                <w:lang w:val="el-GR"/>
              </w:rPr>
              <m:t>α</m:t>
            </m:r>
          </m:sub>
        </m:sSub>
      </m:oMath>
      <w:r w:rsidR="00984C8D" w:rsidRPr="001A0248">
        <w:rPr>
          <w:lang w:val="el-GR"/>
        </w:rPr>
        <w:tab/>
      </w:r>
      <w:r w:rsidR="00984C8D" w:rsidRPr="001A0248">
        <w:rPr>
          <w:lang w:val="el-GR"/>
        </w:rPr>
        <w:tab/>
      </w:r>
      <w:r w:rsidR="00984C8D" w:rsidRPr="001A0248">
        <w:rPr>
          <w:lang w:val="el-GR"/>
        </w:rPr>
        <w:tab/>
      </w:r>
      <w:r w:rsidR="00984C8D" w:rsidRPr="001A0248">
        <w:rPr>
          <w:lang w:val="el-GR"/>
        </w:rPr>
        <w:tab/>
      </w:r>
      <w:r w:rsidR="00984C8D" w:rsidRPr="001A0248">
        <w:rPr>
          <w:lang w:val="el-GR"/>
        </w:rPr>
        <w:tab/>
      </w:r>
      <w:r w:rsidR="00984C8D" w:rsidRPr="001A0248">
        <w:rPr>
          <w:lang w:val="el-GR"/>
        </w:rPr>
        <w:tab/>
      </w:r>
      <w:r w:rsidR="00984C8D" w:rsidRPr="001A0248">
        <w:rPr>
          <w:lang w:val="el-GR"/>
        </w:rPr>
        <w:tab/>
      </w:r>
      <w:r w:rsidR="00984C8D" w:rsidRPr="001A0248">
        <w:rPr>
          <w:lang w:val="el-GR"/>
        </w:rPr>
        <w:tab/>
      </w:r>
      <w:r w:rsidR="00984C8D" w:rsidRPr="001A0248">
        <w:rPr>
          <w:lang w:val="el-GR"/>
        </w:rPr>
        <w:tab/>
      </w:r>
      <w:r w:rsidR="00984C8D" w:rsidRPr="001A0248">
        <w:rPr>
          <w:lang w:val="el-GR"/>
        </w:rPr>
        <w:tab/>
      </w:r>
      <w:r w:rsidR="00984C8D" w:rsidRPr="001A0248">
        <w:rPr>
          <w:lang w:val="el-GR"/>
        </w:rPr>
        <w:tab/>
        <w:t>(</w:t>
      </w:r>
      <w:r w:rsidR="001A0248" w:rsidRPr="001A0248">
        <w:rPr>
          <w:lang w:val="el-GR"/>
        </w:rPr>
        <w:t>13</w:t>
      </w:r>
      <w:r w:rsidR="00984C8D" w:rsidRPr="001A0248">
        <w:rPr>
          <w:lang w:val="el-GR"/>
        </w:rPr>
        <w:t>)</w:t>
      </w:r>
    </w:p>
    <w:p w14:paraId="6113F8A9" w14:textId="7EC17E17" w:rsidR="00984C8D" w:rsidRDefault="00984C8D" w:rsidP="00984C8D">
      <w:pPr>
        <w:pStyle w:val="SSRNnormal"/>
      </w:pPr>
      <w:r>
        <w:t xml:space="preserve">The variable of </w:t>
      </w:r>
      <w:r>
        <w:rPr>
          <w:lang w:val="el-GR"/>
        </w:rPr>
        <w:t>α</w:t>
      </w:r>
      <w:r w:rsidRPr="00BC1099">
        <w:t xml:space="preserve"> </w:t>
      </w:r>
      <w:r w:rsidR="005F3472">
        <w:t>symbolizes</w:t>
      </w:r>
      <w:r>
        <w:t xml:space="preserve"> the case of the </w:t>
      </w:r>
      <w:r w:rsidR="001A0248">
        <w:t>escape</w:t>
      </w:r>
      <w:r>
        <w:t xml:space="preserve"> savings. This means that </w:t>
      </w:r>
      <w:r w:rsidR="002164D5">
        <w:t>there are</w:t>
      </w:r>
      <w:r>
        <w:t xml:space="preserve"> savings </w:t>
      </w:r>
      <w:r w:rsidR="001A0248">
        <w:t>that</w:t>
      </w:r>
      <w:r>
        <w:t xml:space="preserve"> are not return</w:t>
      </w:r>
      <w:r w:rsidR="001A0248">
        <w:t>ing</w:t>
      </w:r>
      <w:r>
        <w:t xml:space="preserve"> to the </w:t>
      </w:r>
      <w:r w:rsidR="005F3472">
        <w:t>economy or</w:t>
      </w:r>
      <w:r>
        <w:t xml:space="preserve"> come back after </w:t>
      </w:r>
      <w:r w:rsidR="001A0248">
        <w:t xml:space="preserve">a </w:t>
      </w:r>
      <w:r>
        <w:t>long</w:t>
      </w:r>
      <w:r w:rsidR="001A0248">
        <w:t>-</w:t>
      </w:r>
      <w:r>
        <w:t xml:space="preserve">term period. The variable of </w:t>
      </w:r>
      <m:oMath>
        <m:sSub>
          <m:sSubPr>
            <m:ctrlPr>
              <w:rPr>
                <w:rFonts w:ascii="Cambria Math" w:hAnsi="Cambria Math"/>
                <w:i/>
                <w:lang w:val="el-GR"/>
              </w:rPr>
            </m:ctrlPr>
          </m:sSubPr>
          <m:e>
            <m:r>
              <w:rPr>
                <w:rFonts w:ascii="Cambria Math" w:hAnsi="Cambria Math"/>
                <w:lang w:val="el-GR"/>
              </w:rPr>
              <m:t>α</m:t>
            </m:r>
          </m:e>
          <m:sub>
            <m:r>
              <w:rPr>
                <w:rFonts w:ascii="Cambria Math" w:hAnsi="Cambria Math"/>
              </w:rPr>
              <m:t>s</m:t>
            </m:r>
          </m:sub>
        </m:sSub>
      </m:oMath>
      <w:r>
        <w:rPr>
          <w:rFonts w:eastAsiaTheme="minorEastAsia"/>
        </w:rPr>
        <w:t xml:space="preserve"> symbolizes the case that </w:t>
      </w:r>
      <w:r w:rsidR="005F3472">
        <w:rPr>
          <w:rFonts w:eastAsiaTheme="minorEastAsia"/>
        </w:rPr>
        <w:t>there are</w:t>
      </w:r>
      <w:r>
        <w:rPr>
          <w:rFonts w:eastAsiaTheme="minorEastAsia"/>
        </w:rPr>
        <w:t xml:space="preserve"> </w:t>
      </w:r>
      <w:r w:rsidR="001A0248">
        <w:rPr>
          <w:rFonts w:eastAsiaTheme="minorEastAsia"/>
        </w:rPr>
        <w:t>escape</w:t>
      </w:r>
      <w:r>
        <w:rPr>
          <w:rFonts w:eastAsiaTheme="minorEastAsia"/>
        </w:rPr>
        <w:t xml:space="preserve"> savings </w:t>
      </w:r>
      <w:r w:rsidR="001A0248">
        <w:rPr>
          <w:rFonts w:eastAsiaTheme="minorEastAsia"/>
        </w:rPr>
        <w:t>that</w:t>
      </w:r>
      <w:r>
        <w:rPr>
          <w:rFonts w:eastAsiaTheme="minorEastAsia"/>
        </w:rPr>
        <w:t xml:space="preserve"> come from transfer pricing activities. The variable of </w:t>
      </w:r>
      <m:oMath>
        <m:sSub>
          <m:sSubPr>
            <m:ctrlPr>
              <w:rPr>
                <w:rFonts w:ascii="Cambria Math" w:eastAsiaTheme="minorEastAsia" w:hAnsi="Cambria Math"/>
                <w:i/>
                <w:lang w:val="el-GR"/>
              </w:rPr>
            </m:ctrlPr>
          </m:sSubPr>
          <m:e>
            <m:r>
              <w:rPr>
                <w:rFonts w:ascii="Cambria Math" w:eastAsiaTheme="minorEastAsia" w:hAnsi="Cambria Math"/>
                <w:lang w:val="el-GR"/>
              </w:rPr>
              <m:t>α</m:t>
            </m:r>
          </m:e>
          <m:sub>
            <m:r>
              <w:rPr>
                <w:rFonts w:ascii="Cambria Math" w:eastAsiaTheme="minorEastAsia" w:hAnsi="Cambria Math"/>
              </w:rPr>
              <m:t>t</m:t>
            </m:r>
          </m:sub>
        </m:sSub>
      </m:oMath>
      <w:r>
        <w:rPr>
          <w:rFonts w:eastAsiaTheme="minorEastAsia"/>
        </w:rPr>
        <w:t xml:space="preserve"> symbolizes the case that </w:t>
      </w:r>
      <w:r w:rsidR="002164D5">
        <w:rPr>
          <w:rFonts w:eastAsiaTheme="minorEastAsia"/>
        </w:rPr>
        <w:t>there are</w:t>
      </w:r>
      <w:r>
        <w:rPr>
          <w:rFonts w:eastAsiaTheme="minorEastAsia"/>
        </w:rPr>
        <w:t xml:space="preserve"> </w:t>
      </w:r>
      <w:r w:rsidR="001A0248">
        <w:rPr>
          <w:rFonts w:eastAsiaTheme="minorEastAsia"/>
        </w:rPr>
        <w:t>escape</w:t>
      </w:r>
      <w:r>
        <w:rPr>
          <w:rFonts w:eastAsiaTheme="minorEastAsia"/>
        </w:rPr>
        <w:t xml:space="preserve"> savings not from transfer pricing activities but from any other commercial activity. For </w:t>
      </w:r>
      <w:r w:rsidR="005F3472">
        <w:rPr>
          <w:rFonts w:eastAsiaTheme="minorEastAsia"/>
        </w:rPr>
        <w:t>instance,</w:t>
      </w:r>
      <w:r>
        <w:rPr>
          <w:rFonts w:eastAsiaTheme="minorEastAsia"/>
        </w:rPr>
        <w:t xml:space="preserve"> </w:t>
      </w:r>
      <m:oMath>
        <m:sSub>
          <m:sSubPr>
            <m:ctrlPr>
              <w:rPr>
                <w:rFonts w:ascii="Cambria Math" w:eastAsiaTheme="minorEastAsia" w:hAnsi="Cambria Math"/>
                <w:i/>
                <w:lang w:val="el-GR"/>
              </w:rPr>
            </m:ctrlPr>
          </m:sSubPr>
          <m:e>
            <m:r>
              <w:rPr>
                <w:rFonts w:ascii="Cambria Math" w:eastAsiaTheme="minorEastAsia" w:hAnsi="Cambria Math"/>
                <w:lang w:val="el-GR"/>
              </w:rPr>
              <m:t>α</m:t>
            </m:r>
          </m:e>
          <m:sub>
            <m:r>
              <w:rPr>
                <w:rFonts w:ascii="Cambria Math" w:eastAsiaTheme="minorEastAsia" w:hAnsi="Cambria Math"/>
              </w:rPr>
              <m:t>t</m:t>
            </m:r>
          </m:sub>
        </m:sSub>
      </m:oMath>
      <w:r>
        <w:rPr>
          <w:rFonts w:eastAsiaTheme="minorEastAsia"/>
        </w:rPr>
        <w:t xml:space="preserve"> could refer to the commercial activities </w:t>
      </w:r>
      <w:r w:rsidR="001A0248">
        <w:rPr>
          <w:rFonts w:eastAsiaTheme="minorEastAsia"/>
        </w:rPr>
        <w:t>that</w:t>
      </w:r>
      <w:r>
        <w:rPr>
          <w:rFonts w:eastAsiaTheme="minorEastAsia"/>
        </w:rPr>
        <w:t xml:space="preserve"> come from uncontrolled transactions. The variable of </w:t>
      </w:r>
      <m:oMath>
        <m:r>
          <w:rPr>
            <w:rFonts w:ascii="Cambria Math" w:eastAsiaTheme="minorEastAsia" w:hAnsi="Cambria Math"/>
          </w:rPr>
          <m:t>m</m:t>
        </m:r>
      </m:oMath>
      <w:r>
        <w:rPr>
          <w:rFonts w:eastAsiaTheme="minorEastAsia"/>
        </w:rPr>
        <w:t xml:space="preserve"> symbolizes the financial liquidity in an economy. The variable of </w:t>
      </w:r>
      <m:oMath>
        <m:r>
          <w:rPr>
            <w:rFonts w:ascii="Cambria Math" w:eastAsiaTheme="minorEastAsia" w:hAnsi="Cambria Math"/>
          </w:rPr>
          <m:t>μ</m:t>
        </m:r>
      </m:oMath>
      <w:r>
        <w:rPr>
          <w:rFonts w:eastAsiaTheme="minorEastAsia"/>
        </w:rPr>
        <w:t xml:space="preserve"> symbolizes the consumption in an economy. The variable of </w:t>
      </w:r>
      <m:oMath>
        <m:sSub>
          <m:sSubPr>
            <m:ctrlPr>
              <w:rPr>
                <w:rFonts w:ascii="Cambria Math" w:eastAsiaTheme="minorEastAsia" w:hAnsi="Cambria Math"/>
                <w:i/>
                <w:lang w:val="el-GR"/>
              </w:rPr>
            </m:ctrlPr>
          </m:sSubPr>
          <m:e>
            <m:r>
              <w:rPr>
                <w:rFonts w:ascii="Cambria Math" w:eastAsiaTheme="minorEastAsia" w:hAnsi="Cambria Math"/>
                <w:lang w:val="el-GR"/>
              </w:rPr>
              <m:t>α</m:t>
            </m:r>
          </m:e>
          <m:sub>
            <m:r>
              <w:rPr>
                <w:rFonts w:ascii="Cambria Math" w:eastAsiaTheme="minorEastAsia" w:hAnsi="Cambria Math"/>
              </w:rPr>
              <m:t>p</m:t>
            </m:r>
          </m:sub>
        </m:sSub>
      </m:oMath>
      <w:r>
        <w:rPr>
          <w:rFonts w:eastAsiaTheme="minorEastAsia"/>
        </w:rPr>
        <w:t xml:space="preserve"> symbolizes the enforcement savings, which come from the citizens and small and medium</w:t>
      </w:r>
      <w:r w:rsidR="001A0248">
        <w:rPr>
          <w:rFonts w:eastAsiaTheme="minorEastAsia"/>
        </w:rPr>
        <w:t>-</w:t>
      </w:r>
      <w:r>
        <w:rPr>
          <w:rFonts w:eastAsiaTheme="minorEastAsia"/>
        </w:rPr>
        <w:t xml:space="preserve">sized enterprises. The variable of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m</m:t>
            </m:r>
          </m:sub>
        </m:sSub>
      </m:oMath>
      <w:r>
        <w:rPr>
          <w:rFonts w:eastAsiaTheme="minorEastAsia"/>
        </w:rPr>
        <w:t xml:space="preserve"> symbolizes the condition of financial liquidity in an economy. The variable of </w:t>
      </w:r>
      <m:oMath>
        <m:sSub>
          <m:sSubPr>
            <m:ctrlPr>
              <w:rPr>
                <w:rFonts w:ascii="Cambria Math" w:hAnsi="Cambria Math"/>
                <w:i/>
                <w:lang w:val="el-GR"/>
              </w:rPr>
            </m:ctrlPr>
          </m:sSubPr>
          <m:e>
            <m:r>
              <w:rPr>
                <w:rFonts w:ascii="Cambria Math" w:hAnsi="Cambria Math"/>
              </w:rPr>
              <m:t>c</m:t>
            </m:r>
          </m:e>
          <m:sub>
            <m:r>
              <w:rPr>
                <w:rFonts w:ascii="Cambria Math" w:hAnsi="Cambria Math"/>
                <w:lang w:val="el-GR"/>
              </w:rPr>
              <m:t>m</m:t>
            </m:r>
          </m:sub>
        </m:sSub>
      </m:oMath>
      <w:r>
        <w:rPr>
          <w:rFonts w:eastAsiaTheme="minorEastAsia"/>
        </w:rPr>
        <w:t xml:space="preserve"> symbolizes the velocity of financial liquidity increases or </w:t>
      </w:r>
      <w:r>
        <w:rPr>
          <w:rFonts w:eastAsiaTheme="minorEastAsia"/>
        </w:rPr>
        <w:lastRenderedPageBreak/>
        <w:t xml:space="preserve">decreases. The variable of </w:t>
      </w:r>
      <m:oMath>
        <m:sSub>
          <m:sSubPr>
            <m:ctrlPr>
              <w:rPr>
                <w:rFonts w:ascii="Cambria Math" w:hAnsi="Cambria Math"/>
                <w:i/>
                <w:lang w:val="el-GR"/>
              </w:rPr>
            </m:ctrlPr>
          </m:sSubPr>
          <m:e>
            <m:r>
              <w:rPr>
                <w:rFonts w:ascii="Cambria Math" w:hAnsi="Cambria Math"/>
              </w:rPr>
              <m:t>c</m:t>
            </m:r>
          </m:e>
          <m:sub>
            <m:r>
              <w:rPr>
                <w:rFonts w:ascii="Cambria Math" w:hAnsi="Cambria Math"/>
                <w:lang w:val="el-GR"/>
              </w:rPr>
              <m:t>α</m:t>
            </m:r>
          </m:sub>
        </m:sSub>
      </m:oMath>
      <w:r>
        <w:rPr>
          <w:rFonts w:eastAsiaTheme="minorEastAsia"/>
        </w:rPr>
        <w:t xml:space="preserve"> symbolizes the velocity of </w:t>
      </w:r>
      <w:r w:rsidR="001A0248">
        <w:rPr>
          <w:rFonts w:eastAsiaTheme="minorEastAsia"/>
        </w:rPr>
        <w:t>escape</w:t>
      </w:r>
      <w:r>
        <w:rPr>
          <w:rFonts w:eastAsiaTheme="minorEastAsia"/>
        </w:rPr>
        <w:t xml:space="preserve"> savings. Therefore, the variable of </w:t>
      </w:r>
      <m:oMath>
        <m:sSub>
          <m:sSubPr>
            <m:ctrlPr>
              <w:rPr>
                <w:rFonts w:ascii="Cambria Math" w:hAnsi="Cambria Math"/>
                <w:i/>
                <w:lang w:val="el-GR"/>
              </w:rPr>
            </m:ctrlPr>
          </m:sSubPr>
          <m:e>
            <m:r>
              <w:rPr>
                <w:rFonts w:ascii="Cambria Math" w:hAnsi="Cambria Math"/>
              </w:rPr>
              <m:t>c</m:t>
            </m:r>
          </m:e>
          <m:sub>
            <m:r>
              <w:rPr>
                <w:rFonts w:ascii="Cambria Math" w:hAnsi="Cambria Math"/>
              </w:rPr>
              <m:t>y</m:t>
            </m:r>
          </m:sub>
        </m:sSub>
      </m:oMath>
      <w:r>
        <w:rPr>
          <w:rFonts w:eastAsiaTheme="minorEastAsia"/>
        </w:rPr>
        <w:t xml:space="preserve"> symbolizes the term of the cycle of money</w:t>
      </w:r>
      <w:r w:rsidR="009D6EEA">
        <w:rPr>
          <w:rFonts w:eastAsiaTheme="minorEastAsia"/>
        </w:rPr>
        <w:t xml:space="preserve"> </w:t>
      </w:r>
      <w:r w:rsidR="009D6EEA">
        <w:rPr>
          <w:rFonts w:eastAsiaTheme="minorEastAsia"/>
        </w:rPr>
        <w:fldChar w:fldCharType="begin" w:fldLock="1"/>
      </w:r>
      <w:r w:rsidR="009D6EEA">
        <w:rPr>
          <w:rFonts w:eastAsiaTheme="minorEastAsia"/>
        </w:rPr>
        <w:instrText>ADDIN CSL_CITATION {"citationItems":[{"id":"ITEM-1","itemData":{"author":[{"dropping-particle":"","family":"Challoumis","given":"Constantinos","non-dropping-particle":"","parse-names":false,"suffix":""}],"container-title":"Ekonomski signali","id":"ITEM-1","issued":{"date-parts":[["2023"]]},"title":"Impact factor of bureaucracy to the tax system","type":"article-journal"},"uris":["http://www.mendeley.com/documents/?uuid=9e842d11-e63a-4fe2-aae9-e69edb5254c1"]},{"id":"ITEM-2","itemData":{"author":[{"dropping-particle":"","family":"Challoumis","given":"Constantinos","non-dropping-particle":"","parse-names":false,"suffix":""}],"container-title":"Open Journal for Research in Economics","id":"ITEM-2","issue":"1","issued":{"date-parts":[["2023"]]},"page":"1-12","title":"The Cycle of Money (C.M.) Considers Financial Liquidity with Minimum Mixed Savings","type":"article-journal","volume":"6"},"uris":["http://www.mendeley.com/documents/?uuid=0ea18d9b-26a9-465b-9fcf-0e07503ec740"]},{"id":"ITEM-3","itemData":{"DOI":"10.3726/b20509","author":[{"dropping-particle":"","family":"Challoumis","given":"Constantinos","non-dropping-particle":"","parse-names":false,"suffix":""}],"container-title":"Social and Economic Studies within the Framework of Emerging Global Developments Volume 2, V. Kaya","id":"ITEM-3","issued":{"date-parts":[["2023"]]},"page":"53-64","title":"Utility of Cycle of Money without the Escaping Savings (Protection of the Economy)","type":"chapter"},"uris":["http://www.mendeley.com/documents/?uuid=9358f54d-3c7c-4917-bb56-62f10e1d3697"]},{"id":"ITEM-4","itemData":{"DOI":"10.15388/ekon.2019.1.1","ISSN":"1392-1258","abstract":"[full article and abstract in English] This paper is about the classic methods used in the analysis of economics. More precisely, the R.B.Q. (Rational, Behavioral, and Quantified) model is about rational economics and behavioral economic analysis in conjunction with the quantification procedure (Q.E. method). Therefore, in this work are submitted the most common methodological approaches used in economics including a form of their combination. What follows is a critical examination that extendedly scrutinizes the terminology of axiomatic methods. One of the aims of this paper to represent the special characteristics of rational economics in comparison to the case of behavioral economics. Then provided is an analysis wherein the issues relevant to this are represented, and on the basis of which the main differences between the two concepts are showed. Hence, the aim here is to show the crucial attributes of these concepts. This study also uses a quantification method to show the behavior of these two economic theories within their relation to one another, demonstrating a complete view of them in a single economic model.","author":[{"dropping-particle":"","family":"Challoumis","given":"Constantinos","non-dropping-particle":"","parse-names":false,"suffix":""}],"container-title":"Ekonomika","id":"ITEM-4","issue":"1","issued":{"date-parts":[["2019"]]},"page":"6-18","title":"The R.B.Q. (Rational, Behavioral and Quantified) Model","type":"article-journal","volume":"98"},"uris":["http://www.mendeley.com/documents/?uuid=f02af7fe-9c67-306a-ace8-f5b267653fc2"]},{"id":"ITEM-5","itemData":{"DOI":"10.2478/jec-2020-0015","ISSN":"2256-0173","abstract":"Research purpose. This paper has established the index of the cycle of money. The index shows the level of the appropriately structured economy. According to the theory of the cycle of money, it is examined if an amount of money is recycled in the economy a lot of times or this amount of money is lost from an economy to other economies or banks abroad, because of inadequate structure of the economy of the country, then the purpose of the paper is to show an application of the case cycle of money, here in the case of Latvia. Therefore, this work aims to clarify how the theory of the cycle of money works to a real case scenario, and in general, how the cycle of money applies to an economy. Moreover, the index of the cycle of money shows how an economy could counteract to an economic crisis and how well-structured it is. Design/Methodology/Approach. The methodology followed in this work is based on the mathematical application of the theory of the cycle of money. Then, the current results have as root the equations of this theory for the examination of the case of Latvia for the period from 2012 to 2017. Beyond the mathematical applications, the R.B.Q. model with the Q.E. method is applied to ensure the credibility of the results. Therefore, we have a real case scenario and a simulation case for the case of Latvia. Findings. The results of the index of the cycle of money to the case of Latvia are compared with the global average index of the cycle of money. The results show, as expected, that Latvia is above the average global value. Latvia’s findings show that it is a well-structured economy and can counteract an economic crisis. Originality/Value/Practical implications. The results are original and show for the first time the cycle of money of Latvia through the application of this theory. This research is the first application of the cycle of money in the case of index calculations. So, it is a completely new concept based on the theory of the cycle of money.","author":[{"dropping-particle":"","family":"Challoumis","given":"Constantinos","non-dropping-particle":"","parse-names":false,"suffix":""}],"container-title":"Economics and Culture","id":"ITEM-5","issue":"2","issued":{"date-parts":[["2021"]]},"page":"5-12","title":"Index of the Cycle of Money - The Case of Latvia","type":"article-journal","volume":"17"},"uris":["http://www.mendeley.com/documents/?uuid=e7232cc6-7d76-40e0-b1d8-12e99843306a"]},{"id":"ITEM-6","itemData":{"author":[{"dropping-particle":"","family":"Challoumis","given":"Constantinos","non-dropping-particle":"","parse-names":false,"suffix":""}],"container-title":"IKBFU's Vestnik","id":"ITEM-6","issue":"01","issued":{"date-parts":[["2019"]]},"page":"59 - 68","title":"Theoretical analysis of fuzzy logic and Q. E. method in econo­mics","type":"article-journal","volume":"2019"},"uris":["http://www.mendeley.com/documents/?uuid=4b3d85bb-502d-476e-ba0d-f759d5ec3659"]},{"id":"ITEM-7","itemData":{"author":[{"dropping-particle":"","family":"Challoumis","given":"Constantinos","non-dropping-particle":"","parse-names":false,"suffix":""}],"container-title":"MIDDLE EUROPEAN SCIENTIFIC BULLETIN","id":"ITEM-7","issue":"1","issued":{"date-parts":[["2023"]]},"page":"63-68","title":"Multiple Axiomatics Method and the Fuzzy Logic","type":"article-journal","volume":"37"},"uris":["http://www.mendeley.com/documents/?uuid=667f555d-815b-4d9c-93f5-deacb2e727bd"]},{"id":"ITEM-8","itemData":{"author":[{"dropping-particle":"","family":"Challoumis","given":"Constantinos","non-dropping-particle":"","parse-names":false,"suffix":""}],"container-title":"European Multidisciplinary Journal of Modern Science","id":"ITEM-8","issue":"2023","issued":{"date-parts":[["2023"]]},"page":"17-25","title":"Velocity of Escaped Savings and Minimum Financial Liquidity According to the Theory of Cycle of Money","type":"article-journal","volume":"23"},"uris":["http://www.mendeley.com/documents/?uuid=3769ba6e-17c3-4e4b-9e9c-4ca81b5dcd70"]},{"id":"ITEM-9","itemData":{"author":[{"dropping-particle":"","family":"Challoumis","given":"Constantinos","non-dropping-particle":"","parse-names":false,"suffix":""}],"container-title":"International Journal of Multicultural and Multireligious Understanding","id":"ITEM-9","issue":"1","issued":{"date-parts":[["2024"]]},"title":"Impact Factors of Global Tax Revenue - Theory of Cycle of Money","type":"article-journal","volume":"11"},"uris":["http://www.mendeley.com/documents/?uuid=e8b5292f-2c5f-42de-a9de-42f8d8850605"]},{"id":"ITEM-10","itemData":{"author":[{"dropping-particle":"","family":"Challoumis","given":"Constantinos","non-dropping-particle":"","parse-names":false,"suffix":""}],"container-title":"Open Journal for Research in Economics","id":"ITEM-10","issue":"1","issued":{"date-parts":[["2023"]]},"page":"25-34","title":"Maximum mixed savings on the cycle of money","type":"article-journal","volume":"6"},"uris":["http://www.mendeley.com/documents/?uuid=3bcc8720-25dd-4eff-b07a-b8d35d426274"]},{"id":"ITEM-11","itemData":{"author":[{"dropping-particle":"","family":"Challoumis","given":"Constantinos","non-dropping-particle":"","parse-names":false,"suffix":""}],"container-title":"British Journal of Humanities and Social Sciences","id":"ITEM-11","issue":"1","issued":{"date-parts":[["2023"]]},"page":"68-77","title":"Index of the Cycle of Money - The Case of England","type":"article-journal","volume":"26"},"uris":["http://www.mendeley.com/documents/?uuid=911a815d-65df-4bb1-b992-861a9c6505f8"]}],"mendeley":{"formattedCitation":"(Challoumis, 2019f, 2019e, 2021d, 2023o, 2023k, 2023q, 2023v, 2023s, 2023ah, 2023ag, 2024a)","plainTextFormattedCitation":"(Challoumis, 2019f, 2019e, 2021d, 2023o, 2023k, 2023q, 2023v, 2023s, 2023ah, 2023ag, 2024a)","previouslyFormattedCitation":"(Challoumis, 2019f, 2019e, 2021d, 2023o, 2023k, 2023q, 2023v, 2023s, 2023ah, 2023ag, 2024a)"},"properties":{"noteIndex":0},"schema":"https://github.com/citation-style-language/schema/raw/master/csl-citation.json"}</w:instrText>
      </w:r>
      <w:r w:rsidR="009D6EEA">
        <w:rPr>
          <w:rFonts w:eastAsiaTheme="minorEastAsia"/>
        </w:rPr>
        <w:fldChar w:fldCharType="separate"/>
      </w:r>
      <w:r w:rsidR="009D6EEA" w:rsidRPr="009D6EEA">
        <w:rPr>
          <w:rFonts w:eastAsiaTheme="minorEastAsia"/>
          <w:noProof/>
        </w:rPr>
        <w:t>(Challoumis, 2019f, 2019e, 2021d, 2023o, 2023k, 2023q, 2023v, 2023s, 2023ah, 2023ag, 2024a)</w:t>
      </w:r>
      <w:r w:rsidR="009D6EEA">
        <w:rPr>
          <w:rFonts w:eastAsiaTheme="minorEastAsia"/>
        </w:rPr>
        <w:fldChar w:fldCharType="end"/>
      </w:r>
      <w:r>
        <w:rPr>
          <w:rFonts w:eastAsiaTheme="minorEastAsia"/>
        </w:rPr>
        <w:t xml:space="preserve">. Thereupon, the cycle of money shows the level of </w:t>
      </w:r>
      <w:r w:rsidR="001A0248">
        <w:rPr>
          <w:rFonts w:eastAsiaTheme="minorEastAsia"/>
        </w:rPr>
        <w:t xml:space="preserve">the </w:t>
      </w:r>
      <w:r>
        <w:rPr>
          <w:rFonts w:eastAsiaTheme="minorEastAsia"/>
        </w:rPr>
        <w:t xml:space="preserve">dynamic of an economy and its robustness. </w:t>
      </w:r>
      <w:r>
        <w:t>Theref</w:t>
      </w:r>
      <w:r w:rsidR="001A0248">
        <w:t>ore</w:t>
      </w:r>
      <w:r>
        <w:t xml:space="preserve">, </w:t>
      </w:r>
      <w:r w:rsidR="001A0248">
        <w:t>it has</w:t>
      </w:r>
      <w:r>
        <w:t xml:space="preserve"> </w:t>
      </w:r>
      <w:r w:rsidR="001A0248">
        <w:t xml:space="preserve">been </w:t>
      </w:r>
      <w:r>
        <w:t>obtain</w:t>
      </w:r>
      <w:r w:rsidR="001A0248">
        <w:t>ed</w:t>
      </w:r>
      <w:r>
        <w:t xml:space="preserve"> that the cycle of money </w:t>
      </w:r>
      <w:r w:rsidR="001A0248">
        <w:t>grows</w:t>
      </w:r>
      <w:r>
        <w:t xml:space="preserve"> when there is a tax system like the case of </w:t>
      </w:r>
      <w:r w:rsidR="001A0248">
        <w:t xml:space="preserve">the </w:t>
      </w:r>
      <w:r>
        <w:t>fixed length principle which permits the low taxation of uncontrolled transactions and the higher taxation of controlled transactions</w:t>
      </w:r>
      <w:r w:rsidR="009D6EEA">
        <w:t xml:space="preserve"> </w:t>
      </w:r>
      <w:r w:rsidR="009D6EEA">
        <w:fldChar w:fldCharType="begin" w:fldLock="1"/>
      </w:r>
      <w:r w:rsidR="009D6EEA">
        <w:instrText>ADDIN CSL_CITATION {"citationItems":[{"id":"ITEM-1","itemData":{"DOI":"10.1017/S1368980018004068","ISSN":"14752727","abstract":"Objective: To assess and compare the favourability of healthy public policy options to promote healthy eating from the perspective of members of the general public and policy influencers in two Canadian provinces. Design: The Chronic Disease Prevention Survey, administered in 2016, required participants to rank their level of support for different evidence-based policy options to promote healthy eating at the population level. Pearson's χ 2 significance testing was used to compare support between groups for each policy option and results were interpreted using the Nuffield Council on Bioethics' intervention ladder framework. Setting: Alberta and Québec, Canada. Participants: Members of the general public (n 2400) and policy influencers (n 302) in Alberta and Québec. Results: General public and policy influencer survey respondents were more supportive of healthy eating policies if they were less intrusive on individual autonomy. However, in comparing levels of support between groups, we found policy influencers indicated significantly stronger support overall for healthy eating policy options. We also found that policy influencers in Québec tended to show more support for more restrictive policy options than their counterparts from Alberta. Conclusions: These results suggest that additional knowledge brokering may be required to increase support for more intrusive yet impactful evidence-based policy interventions; and that the overall lower levels of support among members of the public may impede policy influencers from taking action on policies to promote healthy eating.","author":[{"dropping-particle":"","family":"Kongats","given":"Krystyna","non-dropping-particle":"","parse-names":false,"suffix":""},{"dropping-particle":"","family":"McGetrick","given":"Jennifer Ann","non-dropping-particle":"","parse-names":false,"suffix":""},{"dropping-particle":"","family":"Raine","given":"Kim D.","non-dropping-particle":"","parse-names":false,"suffix":""},{"dropping-particle":"","family":"Voyer","given":"Corinne","non-dropping-particle":"","parse-names":false,"suffix":""},{"dropping-particle":"","family":"Nykiforuk","given":"Candace I.J.","non-dropping-particle":"","parse-names":false,"suffix":""}],"container-title":"Public Health Nutrition","id":"ITEM-1","issue":"8","issued":{"date-parts":[["2019"]]},"title":"Assessing general public and policy influencer support for healthy public policies to promote healthy eating at the population level in two Canadian provinces","type":"article-journal","volume":"22"},"uris":["http://www.mendeley.com/documents/?uuid=d73b6160-d51d-3256-b966-740bdbd78450"]},{"id":"ITEM-2","itemData":{"DOI":"10.1109/ICEBEG.2011.5877027","abstract":"In the background of the global financial crisis, the public economic policy to play an important role as the operational guidelines and measures of regulating macroeconomic and controlling to guide people's economic activities. This article talked about the response initiatives of the public economic policy in the financial crisis based on the categories of the public economic policy, which from the financial, monetary, industrial, employment, income distribution, social security and social welfare policy on the macro-perspectives. © 2011 IEEE.","author":[{"dropping-particle":"","family":"Deng","given":"Yue","non-dropping-particle":"","parse-names":false,"suffix":""},{"dropping-particle":"","family":"Li","given":"Hezhong","non-dropping-particle":"","parse-names":false,"suffix":""}],"container-title":"2011 International Conference on E-Business and E-Government, ICEE2011 - Proceedings","id":"ITEM-2","issued":{"date-parts":[["2011"]]},"title":"RETRACTED ARTICLE: Measures of public economic policy under the financial crisis in China","type":"article"},"uris":["http://www.mendeley.com/documents/?uuid=36cdf49e-78d2-3556-a9bd-a2a83a355bcf"]},{"id":"ITEM-3","itemData":{"DOI":"10.1016/j.cesjef.2017.01.001","ISSN":"02100266","abstract":"The aim of this paper is to estimate the potential effects of EU-15 public policies on economic convergence. In particular, an empirical proposal is presented to compare, in terms of convergence speed, the results reached in the EU with the policies implemented with those obtained under alternative policies during the 1980–2010 period. On the basis of this approach, two types of scenarios were derived, depending on whether the changes in the policy instruments are considered in all the EU-15 countries or in each of them separately. Results show that it would have been possible to obtain better results for the EU convergence with higher rates of infrastructure and education investment, which provide support for the coordination of these policies between the member countries.","author":[{"dropping-particle":"","family":"Delgado Rodríguez","given":"M. Jesús","non-dropping-particle":"","parse-names":false,"suffix":""},{"dropping-particle":"","family":"Lucas Santos","given":"Sonia","non-dropping-particle":"de","parse-names":false,"suffix":""}],"container-title":"Cuadernos de Economia","id":"ITEM-3","issue":"115","issued":{"date-parts":[["2018"]]},"title":"Speed of economic convergence and EU public policy","type":"article-journal","volume":"41"},"uris":["http://www.mendeley.com/documents/?uuid=a75ee85b-28e1-36dc-8f92-a8e97c1d6715"]},{"id":"ITEM-4","itemData":{"DOI":"10.47752/sjef.310.171.177","ISSN":"2617-7641","abstract":"This study mainly investigates the problems of public management from the two interdisciplinary approaches of regional economic development policy and urban development policy. A qualitative desk review approach has been adopted to contribute the debate and reach the objectives of the study. This study reveals that there is an integral relationship among regional economic development policy, urban development policy and public policy. It also introduces the main essence of regional economic development policy, the analysis of the research difficulties and causes, expounds the relationship and enlightenment between regional economic development policy research perspectives, approach and research methods of public management. It also highlights the relationship and enlightenment between the way and research method and the theory and practice of public management. This paper also analyzes the main similarity and differences between regional economic development policy and urban development policy and forward recommendations based on the findings.","author":[{"dropping-particle":"","family":"Sultana","given":"Asfika","non-dropping-particle":"","parse-names":false,"suffix":""},{"dropping-particle":"","family":"Or Rashid","given":"Md Harun","non-dropping-particle":"","parse-names":false,"suffix":""},{"dropping-particle":"","family":"Akter Eva","given":"Shahara","non-dropping-particle":"","parse-names":false,"suffix":""},{"dropping-particle":"","family":"Sultana","given":"Arifin","non-dropping-particle":"","parse-names":false,"suffix":""}],"container-title":"Sumerianz Journal of Economics and Finance","id":"ITEM-4","issue":"310","issued":{"date-parts":[["2020"]]},"title":"Assessment of Relationship Among Regional Economic Development Policy, Urban Development Policy and Public Policy","type":"article-journal"},"uris":["http://www.mendeley.com/documents/?uuid=fc8d00a7-19c4-380b-a632-9fcac8e081b1"]},{"id":"ITEM-5","itemData":{"DOI":"10.1017/S1537592705050036","ISSN":"15410986","abstract":"In 2001 and 2003, the Bush administration engineered two enormous tax cuts primarily benefiting very wealthy taxpayers. Most Americans supported these tax cuts. I argue that they did so not because they were indifferent to economic inequality, but because they largely failed to connect inequality and public policy. Three out of every four people polled said that the difference in incomes between rich people and poor people has increased in the past 20 years, and most of them added that that is a bad thing—but most of those people still supported the regressive 2001 Bush tax cut and the even more regressive repeal of the estate tax. Several manifestly relevant considerations had negligible or seemingly perverse effects on these policy views, including assessments of the wastefulness of government spending and desires for additional spending on a variety of government programs. Support for the Bush tax cuts was strongly shaped by people's attitudes about their own tax burdens, but virtually unaffected by their attitudes about the tax burden of the rich—even in the case of the estate tax, which only affects the wealthiest one or two percent of taxpayers. Public opinion in this instance was ill informed, insensitive to some of the most important implications of the tax cuts, and largely disconnected from (or misconnected to) a variety of relevant values and material interests. © 2005, American Political Science Association. All rights reserved.","author":[{"dropping-particle":"","family":"Bartels","given":"Larry M.","non-dropping-particle":"","parse-names":false,"suffix":""}],"container-title":"Perspectives on Politics","id":"ITEM-5","issue":"1","issued":{"date-parts":[["2005"]]},"title":"Homer Gets a Tax Cut: Inequality and Public Policy in the American Mind","type":"article-journal","volume":"3"},"uris":["http://www.mendeley.com/documents/?uuid=c9ad743c-b3e2-35aa-971b-3ab09fdc65e3"]},{"id":"ITEM-6","itemData":{"DOI":"10.5296/emsd.v8i1.13758","abstract":"The projects under CPEC specifically the Energy, Infrastructure and Economic zones development Promises significant implication for people of Pakistan. The aim of the study was top analyze the Impacts of CPEC on Socioeconomic, Public Policy, Environmental and Economic Indicators in Khyber Pakhtunkhwa. The study used T Test for the primary data collected from respondents of different Public Policy, Economic and Educational Departments in Khyber Pakhtunkwa (KPK). The results of the study support significant impacts of CPEC on Economic, Socioeconomic and Public Policy Indicators in KPK. The results also present some environmental challenges due to the CPEC project. It is concluded that health, education, business competitiveness, economic political stability will improve with the project. The Project is expected to improve the socioeconomic indicators of the underdeveloped Province of KPK. Further the Project will support the KPK Public Policy concerns such women empowerment, allocation of resources, economic stability and increasing productivity to reduce poverty and inequality of wealth.","author":[{"dropping-particle":"","family":"Khan","given":"Shehryar","non-dropping-particle":"","parse-names":false,"suffix":""},{"dropping-particle":"","family":"Liu","given":"Guijian","non-dropping-particle":"","parse-names":false,"suffix":""}],"container-title":"Environmental Management and Sustainable Development","id":"ITEM-6","issue":"1","issued":{"date-parts":[["2019"]]},"title":"Socioeconomic and Public Policy Impacts of China Pakistan Economic Corridor on Khyber Pakhtunkhwa","type":"article-journal","volume":"8"},"uris":["http://www.mendeley.com/documents/?uuid=4e18601d-c24d-3bf2-a9a8-26fc301f733a"]}],"mendeley":{"formattedCitation":"(Bartels, 2005; Delgado Rodríguez &amp; de Lucas Santos, 2018; Deng &amp; Li, 2011; Khan &amp; Liu, 2019; Kongats et al., 2019; Sultana et al., 2020)","plainTextFormattedCitation":"(Bartels, 2005; Delgado Rodríguez &amp; de Lucas Santos, 2018; Deng &amp; Li, 2011; Khan &amp; Liu, 2019; Kongats et al., 2019; Sultana et al., 2020)","previouslyFormattedCitation":"(Bartels, 2005; Delgado Rodríguez &amp; de Lucas Santos, 2018; Deng &amp; Li, 2011; Khan &amp; Liu, 2019; Kongats et al., 2019; Sultana et al., 2020)"},"properties":{"noteIndex":0},"schema":"https://github.com/citation-style-language/schema/raw/master/csl-citation.json"}</w:instrText>
      </w:r>
      <w:r w:rsidR="009D6EEA">
        <w:fldChar w:fldCharType="separate"/>
      </w:r>
      <w:r w:rsidR="009D6EEA" w:rsidRPr="009D6EEA">
        <w:rPr>
          <w:noProof/>
        </w:rPr>
        <w:t>(Bartels, 2005; Delgado Rodríguez &amp; de Lucas Santos, 2018; Deng &amp; Li, 2011; Khan &amp; Liu, 2019; Kongats et al., 2019; Sultana et al., 2020)</w:t>
      </w:r>
      <w:r w:rsidR="009D6EEA">
        <w:fldChar w:fldCharType="end"/>
      </w:r>
      <w:r>
        <w:t xml:space="preserve">. Should be mentioned that as uncontrolled transactions are considered the same happens with the cases of the financial liquidity of citizens and the small and </w:t>
      </w:r>
      <w:r w:rsidR="005F3472">
        <w:t>middle-sized</w:t>
      </w:r>
      <w:r>
        <w:t xml:space="preserve"> companies. Moreover, there are three basic impact factors of the rewarding taxes</w:t>
      </w:r>
      <w:r w:rsidR="009D6EEA">
        <w:t xml:space="preserve"> </w:t>
      </w:r>
      <w:r w:rsidR="009D6EEA">
        <w:fldChar w:fldCharType="begin" w:fldLock="1"/>
      </w:r>
      <w:r w:rsidR="009D6EEA">
        <w:instrText>ADDIN CSL_CITATION {"citationItems":[{"id":"ITEM-1","itemData":{"author":[{"dropping-particle":"","family":"Challoumis","given":"Constantinos","non-dropping-particle":"","parse-names":false,"suffix":""}],"container-title":"Academic Journal of Digital Economics and Stability","id":"ITEM-1","issue":"1","issued":{"date-parts":[["2023"]]},"page":"136-152","title":"Principles for the Authorities on Activities with Controlled Transactions","type":"article-journal","volume":"30"},"uris":["http://www.mendeley.com/documents/?uuid=fe488c18-b50e-4be3-9be9-53c135d1f8d8"]},{"id":"ITEM-2","itemData":{"author":[{"dropping-particle":"","family":"Challoumis","given":"Constantinos","non-dropping-particle":"","parse-names":false,"suffix":""}],"container-title":"S T U D I A C O M M E R C I A L I A B R A T I S L A V E N S I A Ekonomická univerzita v Bratislave","id":"ITEM-2","issue":"49","issued":{"date-parts":[["2021"]]},"page":"176-188","title":"Index of the cycle of money - The case of Slovakia","type":"article-journal","volume":"14"},"uris":["http://www.mendeley.com/documents/?uuid=2b49361a-fe84-4966-8dee-b54250735a72"]},{"id":"ITEM-3","itemData":{"DOI":"https://doi.org/10.2478/acta-2020-0004","abstract":"This study investigates the Theory of Cycle of Money. The concept of this theory is based on the distribution of money in an economy and shows that it is plausible to have a positive effect on an economy by the appropriate public and tax policy (when is applied the cycle of money). The dynamic of each economy is represented by the concept of the cycle of money. The multiple times that money is used and reused to a country’s economy, without getting out to external economies and banking systems, clarifies the robustness of this economy. Therefore, to this analysis are determined the appropriate tax policies in connection with the savings of the companies of controlled (the companies of transfer pricing administrate their taxation with the allocation of profits and losses to maximize their benefits) and uncontrolled transactions (the companies are not participating in allocations to administrate their profits and losses). This theory is based on the approach that small and medium enterprises must have lower taxes than larger and international companies that substitute the activities of these companies. Moreover, the only large economic units that should have low taxes are the factories and know-how technological companies. In that way, a society could achieve its best well-being standards, as this is a theory that completely sought social welfare. This article aims to clarify the Theory of Cycle of Money and its importance for the robustness of the economy, and the prosperity of the society and citizens. The current study applies the Q.E. method and its econometric approach.","author":[{"dropping-particle":"","family":"Challoumis","given":"Constantinos","non-dropping-particle":"","parse-names":false,"suffix":""}],"container-title":"Acta Universitatis Bohemiae Meridionalis","id":"ITEM-3","issue":"2","issued":{"date-parts":[["2020"]]},"page":"13 - 29","title":"Analysis of the Theory of Cycle of Money","type":"article-journal","volume":"23"},"uris":["http://www.mendeley.com/documents/?uuid=0865d881-2e25-49df-8a6e-9d2da1e8d79e"]},{"id":"ITEM-4","itemData":{"DOI":"I https://doi.org/10.26397/eai1584040917","author":[{"dropping-particle":"","family":"Challoumis","given":"Constantinos","non-dropping-particle":"","parse-names":false,"suffix":""}],"container-title":"Economics and Applied Informatics","id":"ITEM-4","issue":"3","issued":{"date-parts":[["2018"]]},"page":"57-64","title":"The Role of Risk to the International Controlled Transactions","type":"article-journal","volume":"2018"},"uris":["http://www.mendeley.com/documents/?uuid=d4568e45-3f9a-42de-a741-0557c9c94e95"]},{"id":"ITEM-5","itemData":{"DOI":"10.3726/b20968","author":[{"dropping-particle":"","family":"Challoumis","given":"Constantinos","non-dropping-particle":"","parse-names":false,"suffix":""}],"container-title":"Social and Economic Studies within the Framework of Emerging Global Developments Volume 3, V. Kaya","id":"ITEM-5","issued":{"date-parts":[["2023"]]},"page":"31-42","title":"Impact Factor of Liability of Tax System According to the Theory of Cycle of Money","type":"chapter","volume":"3"},"uris":["http://www.mendeley.com/documents/?uuid=87669bf8-dad1-48a1-b4b6-beb9a9307779"]},{"id":"ITEM-6","itemData":{"author":[{"dropping-particle":"","family":"Challoumis","given":"Constantinos","non-dropping-particle":"","parse-names":false,"suffix":""}],"container-title":"International Journal of Culture and Modernity","id":"ITEM-6","issue":"2023","issued":{"date-parts":[["2023"]]},"page":"34-45","title":"The cycle of money with and without the maximum mixed savings (Two-dimensional approach)","type":"article-journal","volume":"33"},"uris":["http://www.mendeley.com/documents/?uuid=30dfdae3-bc18-4e25-b63e-207a8388f2e8"]},{"id":"ITEM-7","itemData":{"author":[{"dropping-particle":"","family":"Challoumis","given":"Constantinos","non-dropping-particle":"","parse-names":false,"suffix":""}],"container-title":"Economic Alternatives","id":"ITEM-7","issue":"2","issued":{"date-parts":[["2021"]]},"page":"225-234","title":"Index of the cycle of money -the case of Bulgaria","type":"article-journal","volume":"27"},"uris":["http://www.mendeley.com/documents/?uuid=ea27aeb0-0191-4538-94ee-f2138383040f"]},{"id":"ITEM-8","itemData":{"DOI":"10.3726/b19907","author":[{"dropping-particle":"","family":"Challoumis","given":"Constantinos","non-dropping-particle":"","parse-names":false,"suffix":""}],"container-title":"Social and Economic Studies within the Framework of Emerging Global Developments, Volume -1, V. Kaya","id":"ITEM-8","issued":{"date-parts":[["2022"]]},"page":"13–24","title":"Conditions of the CM (Cycle of Money)","type":"chapter"},"uris":["http://www.mendeley.com/documents/?uuid=f4766f46-64e4-4819-aa08-9576013cc691"]}],"mendeley":{"formattedCitation":"(Challoumis, 2018f, 2020a, 2021g, 2021j, 2022a, 2023t, 2023l, 2023x)","plainTextFormattedCitation":"(Challoumis, 2018f, 2020a, 2021g, 2021j, 2022a, 2023t, 2023l, 2023x)","previouslyFormattedCitation":"(Challoumis, 2018f, 2020a, 2021g, 2021j, 2022a, 2023t, 2023l, 2023x)"},"properties":{"noteIndex":0},"schema":"https://github.com/citation-style-language/schema/raw/master/csl-citation.json"}</w:instrText>
      </w:r>
      <w:r w:rsidR="009D6EEA">
        <w:fldChar w:fldCharType="separate"/>
      </w:r>
      <w:r w:rsidR="009D6EEA" w:rsidRPr="009D6EEA">
        <w:rPr>
          <w:noProof/>
        </w:rPr>
        <w:t>(Challoumis, 2018f, 2020a, 2021g, 2021j, 2022a, 2023t, 2023l, 2023x)</w:t>
      </w:r>
      <w:r w:rsidR="009D6EEA">
        <w:fldChar w:fldCharType="end"/>
      </w:r>
      <w:r>
        <w:t xml:space="preserve">. The rewarding taxes are the only taxes </w:t>
      </w:r>
      <w:r w:rsidR="001A0248">
        <w:t>that</w:t>
      </w:r>
      <w:r>
        <w:t xml:space="preserve"> have </w:t>
      </w:r>
      <w:r w:rsidR="001A0248">
        <w:t xml:space="preserve">an </w:t>
      </w:r>
      <w:r>
        <w:t>immediate and important role in the market of any economy. These factors are affiliated with education, with the health system of each society, and with the rest relevant structural economic factors of the prior two impact factors:</w:t>
      </w:r>
    </w:p>
    <w:p w14:paraId="5637521F" w14:textId="77777777" w:rsidR="00984C8D" w:rsidRDefault="00984C8D" w:rsidP="00984C8D">
      <w:pPr>
        <w:pStyle w:val="SSRNnormal"/>
      </w:pPr>
      <w:r>
        <w:object w:dxaOrig="8100" w:dyaOrig="3936" w14:anchorId="39367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90.25pt;height:139.5pt" o:ole="">
            <v:imagedata r:id="rId8" o:title=""/>
          </v:shape>
          <o:OLEObject Type="Embed" ProgID="Visio.Drawing.11" ShapeID="_x0000_i1043" DrawAspect="Content" ObjectID="_1769464949" r:id="rId9"/>
        </w:object>
      </w:r>
    </w:p>
    <w:p w14:paraId="23564A3A" w14:textId="77777777" w:rsidR="00984C8D" w:rsidRDefault="00984C8D" w:rsidP="00984C8D">
      <w:r>
        <w:t xml:space="preserve">Figure 2: The cycle of money with rewarding taxes </w:t>
      </w:r>
    </w:p>
    <w:p w14:paraId="406A5A2D" w14:textId="21C673F1" w:rsidR="00984C8D" w:rsidRDefault="009D6EEA" w:rsidP="00984C8D">
      <w:pPr>
        <w:pStyle w:val="SSRNnormal"/>
      </w:pPr>
      <w:r>
        <w:t>T</w:t>
      </w:r>
      <w:r w:rsidR="00984C8D">
        <w:t xml:space="preserve">he previous scheme </w:t>
      </w:r>
      <w:r w:rsidR="001A0248">
        <w:t>represents</w:t>
      </w:r>
      <w:r w:rsidR="00984C8D">
        <w:t xml:space="preserve"> the cycle of money additionally with all the rewarding tax factors:</w:t>
      </w:r>
    </w:p>
    <w:p w14:paraId="4B1258A6" w14:textId="037A0EBC" w:rsidR="00984C8D" w:rsidRDefault="00000000" w:rsidP="00984C8D">
      <w:pPr>
        <w:tabs>
          <w:tab w:val="left" w:pos="2235"/>
        </w:tabs>
        <w:spacing w:line="360" w:lineRule="auto"/>
        <w:rPr>
          <w:rFonts w:eastAsiaTheme="minorEastAsia"/>
        </w:rPr>
      </w:pPr>
      <m:oMath>
        <m:sSub>
          <m:sSubPr>
            <m:ctrlPr>
              <w:rPr>
                <w:rFonts w:ascii="Cambria Math" w:eastAsiaTheme="minorEastAsia" w:hAnsi="Cambria Math"/>
                <w:i/>
                <w:lang w:val="el-GR"/>
              </w:rPr>
            </m:ctrlPr>
          </m:sSubPr>
          <m:e>
            <m:r>
              <w:rPr>
                <w:rFonts w:ascii="Cambria Math" w:eastAsiaTheme="minorEastAsia" w:hAnsi="Cambria Math"/>
                <w:lang w:val="el-GR"/>
              </w:rPr>
              <m:t>α</m:t>
            </m:r>
          </m:e>
          <m:sub>
            <m:r>
              <w:rPr>
                <w:rFonts w:ascii="Cambria Math" w:eastAsiaTheme="minorEastAsia" w:hAnsi="Cambria Math"/>
              </w:rPr>
              <m:t>p</m:t>
            </m:r>
          </m:sub>
        </m:sSub>
      </m:oMath>
      <w:r w:rsidR="00984C8D" w:rsidRPr="00577C2B">
        <w:rPr>
          <w:rFonts w:eastAsiaTheme="minorEastAsia"/>
        </w:rPr>
        <w:t xml:space="preserve">= </w:t>
      </w:r>
      <m:oMath>
        <m:sSub>
          <m:sSubPr>
            <m:ctrlPr>
              <w:rPr>
                <w:rFonts w:ascii="Cambria Math" w:eastAsiaTheme="minorEastAsia" w:hAnsi="Cambria Math"/>
                <w:i/>
                <w:lang w:val="el-GR"/>
              </w:rPr>
            </m:ctrlPr>
          </m:sSubPr>
          <m:e>
            <m:r>
              <w:rPr>
                <w:rFonts w:ascii="Cambria Math" w:eastAsiaTheme="minorEastAsia" w:hAnsi="Cambria Math"/>
                <w:lang w:val="el-GR"/>
              </w:rPr>
              <m:t>α</m:t>
            </m:r>
          </m:e>
          <m:sub>
            <m:r>
              <w:rPr>
                <w:rFonts w:ascii="Cambria Math" w:eastAsiaTheme="minorEastAsia" w:hAnsi="Cambria Math"/>
              </w:rPr>
              <m:t>r</m:t>
            </m:r>
          </m:sub>
        </m:sSub>
      </m:oMath>
      <w:r w:rsidR="00984C8D" w:rsidRPr="00577C2B">
        <w:rPr>
          <w:rFonts w:eastAsiaTheme="minorEastAsia"/>
        </w:rPr>
        <w:t xml:space="preserve">+ </w:t>
      </w:r>
      <m:oMath>
        <m:sSub>
          <m:sSubPr>
            <m:ctrlPr>
              <w:rPr>
                <w:rFonts w:ascii="Cambria Math" w:eastAsiaTheme="minorEastAsia" w:hAnsi="Cambria Math"/>
                <w:i/>
                <w:lang w:val="el-GR"/>
              </w:rPr>
            </m:ctrlPr>
          </m:sSubPr>
          <m:e>
            <m:r>
              <w:rPr>
                <w:rFonts w:ascii="Cambria Math" w:eastAsiaTheme="minorEastAsia" w:hAnsi="Cambria Math"/>
                <w:lang w:val="el-GR"/>
              </w:rPr>
              <m:t>α</m:t>
            </m:r>
          </m:e>
          <m:sub>
            <m:r>
              <w:rPr>
                <w:rFonts w:ascii="Cambria Math" w:eastAsiaTheme="minorEastAsia" w:hAnsi="Cambria Math"/>
              </w:rPr>
              <m:t>n</m:t>
            </m:r>
          </m:sub>
        </m:sSub>
      </m:oMath>
      <w:r w:rsidR="00984C8D" w:rsidRPr="00577C2B">
        <w:rPr>
          <w:rFonts w:eastAsiaTheme="minorEastAsia"/>
        </w:rPr>
        <w:t>*</w:t>
      </w:r>
      <m:oMath>
        <m:sSub>
          <m:sSubPr>
            <m:ctrlPr>
              <w:rPr>
                <w:rFonts w:ascii="Cambria Math" w:eastAsiaTheme="minorEastAsia" w:hAnsi="Cambria Math"/>
                <w:i/>
                <w:lang w:val="el-GR"/>
              </w:rPr>
            </m:ctrlPr>
          </m:sSubPr>
          <m:e>
            <m:r>
              <w:rPr>
                <w:rFonts w:ascii="Cambria Math" w:eastAsiaTheme="minorEastAsia" w:hAnsi="Cambria Math"/>
              </w:rPr>
              <m:t>h</m:t>
            </m:r>
          </m:e>
          <m:sub>
            <m:r>
              <w:rPr>
                <w:rFonts w:ascii="Cambria Math" w:eastAsiaTheme="minorEastAsia" w:hAnsi="Cambria Math"/>
              </w:rPr>
              <m:t>n</m:t>
            </m:r>
          </m:sub>
        </m:sSub>
      </m:oMath>
      <w:r w:rsidR="00984C8D" w:rsidRPr="00577C2B">
        <w:rPr>
          <w:rFonts w:eastAsiaTheme="minorEastAsia"/>
        </w:rPr>
        <w:t xml:space="preserve"> +</w:t>
      </w:r>
      <m:oMath>
        <m:sSub>
          <m:sSubPr>
            <m:ctrlPr>
              <w:rPr>
                <w:rFonts w:ascii="Cambria Math" w:eastAsiaTheme="minorEastAsia" w:hAnsi="Cambria Math"/>
                <w:i/>
                <w:lang w:val="el-GR"/>
              </w:rPr>
            </m:ctrlPr>
          </m:sSubPr>
          <m:e>
            <m:r>
              <w:rPr>
                <w:rFonts w:ascii="Cambria Math" w:eastAsiaTheme="minorEastAsia" w:hAnsi="Cambria Math"/>
                <w:lang w:val="el-GR"/>
              </w:rPr>
              <m:t>α</m:t>
            </m:r>
          </m:e>
          <m:sub>
            <m:r>
              <w:rPr>
                <w:rFonts w:ascii="Cambria Math" w:eastAsiaTheme="minorEastAsia" w:hAnsi="Cambria Math"/>
              </w:rPr>
              <m:t>m</m:t>
            </m:r>
          </m:sub>
        </m:sSub>
      </m:oMath>
      <w:r w:rsidR="00984C8D" w:rsidRPr="00577C2B">
        <w:rPr>
          <w:rFonts w:eastAsiaTheme="minorEastAsia"/>
        </w:rPr>
        <w:t>*</w:t>
      </w:r>
      <m:oMath>
        <m:sSub>
          <m:sSubPr>
            <m:ctrlPr>
              <w:rPr>
                <w:rFonts w:ascii="Cambria Math" w:eastAsiaTheme="minorEastAsia" w:hAnsi="Cambria Math"/>
                <w:i/>
                <w:lang w:val="el-GR"/>
              </w:rPr>
            </m:ctrlPr>
          </m:sSubPr>
          <m:e>
            <m:r>
              <w:rPr>
                <w:rFonts w:ascii="Cambria Math" w:eastAsiaTheme="minorEastAsia" w:hAnsi="Cambria Math"/>
              </w:rPr>
              <m:t>h</m:t>
            </m:r>
          </m:e>
          <m:sub>
            <m:r>
              <w:rPr>
                <w:rFonts w:ascii="Cambria Math" w:eastAsiaTheme="minorEastAsia" w:hAnsi="Cambria Math"/>
                <w:lang w:val="el-GR"/>
              </w:rPr>
              <m:t>m</m:t>
            </m:r>
          </m:sub>
        </m:sSub>
      </m:oMath>
      <w:r w:rsidR="00984C8D" w:rsidRPr="00577C2B">
        <w:rPr>
          <w:rFonts w:eastAsiaTheme="minorEastAsia"/>
        </w:rPr>
        <w:tab/>
      </w:r>
      <w:r w:rsidR="00984C8D" w:rsidRPr="00577C2B">
        <w:rPr>
          <w:rFonts w:eastAsiaTheme="minorEastAsia"/>
        </w:rPr>
        <w:tab/>
      </w:r>
      <w:r w:rsidR="00984C8D" w:rsidRPr="00577C2B">
        <w:rPr>
          <w:rFonts w:eastAsiaTheme="minorEastAsia"/>
        </w:rPr>
        <w:tab/>
      </w:r>
      <w:r w:rsidR="00984C8D" w:rsidRPr="00577C2B">
        <w:rPr>
          <w:rFonts w:eastAsiaTheme="minorEastAsia"/>
        </w:rPr>
        <w:tab/>
      </w:r>
      <w:r w:rsidR="00984C8D" w:rsidRPr="00577C2B">
        <w:rPr>
          <w:rFonts w:eastAsiaTheme="minorEastAsia"/>
        </w:rPr>
        <w:tab/>
      </w:r>
      <w:r w:rsidR="00984C8D" w:rsidRPr="00577C2B">
        <w:rPr>
          <w:rFonts w:eastAsiaTheme="minorEastAsia"/>
        </w:rPr>
        <w:tab/>
      </w:r>
      <w:r w:rsidR="00984C8D" w:rsidRPr="00577C2B">
        <w:rPr>
          <w:rFonts w:eastAsiaTheme="minorEastAsia"/>
        </w:rPr>
        <w:tab/>
      </w:r>
      <w:r w:rsidR="00984C8D" w:rsidRPr="00577C2B">
        <w:rPr>
          <w:rFonts w:eastAsiaTheme="minorEastAsia"/>
        </w:rPr>
        <w:tab/>
      </w:r>
      <w:r w:rsidR="00984C8D">
        <w:rPr>
          <w:rFonts w:eastAsiaTheme="minorEastAsia"/>
        </w:rPr>
        <w:tab/>
        <w:t>(</w:t>
      </w:r>
      <w:r w:rsidR="001A0248">
        <w:rPr>
          <w:rFonts w:eastAsiaTheme="minorEastAsia"/>
        </w:rPr>
        <w:t>14</w:t>
      </w:r>
      <w:r w:rsidR="00984C8D">
        <w:rPr>
          <w:rFonts w:eastAsiaTheme="minorEastAsia"/>
        </w:rPr>
        <w:t>)</w:t>
      </w:r>
    </w:p>
    <w:p w14:paraId="34DC1176" w14:textId="1D65EC75" w:rsidR="00984C8D" w:rsidRDefault="00000000" w:rsidP="00984C8D">
      <w:pPr>
        <w:tabs>
          <w:tab w:val="left" w:pos="2235"/>
        </w:tabs>
        <w:spacing w:line="360" w:lineRule="auto"/>
        <w:rPr>
          <w:rFonts w:eastAsiaTheme="minorEastAsia"/>
        </w:rPr>
      </w:pPr>
      <m:oMath>
        <m:sSub>
          <m:sSubPr>
            <m:ctrlPr>
              <w:rPr>
                <w:rFonts w:ascii="Cambria Math" w:eastAsiaTheme="minorEastAsia" w:hAnsi="Cambria Math"/>
                <w:i/>
                <w:lang w:val="el-GR"/>
              </w:rPr>
            </m:ctrlPr>
          </m:sSubPr>
          <m:e>
            <m:r>
              <w:rPr>
                <w:rFonts w:ascii="Cambria Math" w:eastAsiaTheme="minorEastAsia" w:hAnsi="Cambria Math"/>
                <w:lang w:val="el-GR"/>
              </w:rPr>
              <m:t>α</m:t>
            </m:r>
          </m:e>
          <m:sub>
            <m:r>
              <w:rPr>
                <w:rFonts w:ascii="Cambria Math" w:eastAsiaTheme="minorEastAsia" w:hAnsi="Cambria Math"/>
              </w:rPr>
              <m:t>r</m:t>
            </m:r>
          </m:sub>
        </m:sSub>
        <m:r>
          <w:rPr>
            <w:rFonts w:ascii="Cambria Math" w:eastAsiaTheme="minorEastAsia" w:hAnsi="Cambria Math"/>
          </w:rPr>
          <m:t>≥</m:t>
        </m:r>
      </m:oMath>
      <w:r w:rsidR="00984C8D" w:rsidRPr="00577C2B">
        <w:rPr>
          <w:rFonts w:eastAsiaTheme="minorEastAsia"/>
        </w:rPr>
        <w:t xml:space="preserve"> </w:t>
      </w:r>
      <m:oMath>
        <m:sSub>
          <m:sSubPr>
            <m:ctrlPr>
              <w:rPr>
                <w:rFonts w:ascii="Cambria Math" w:eastAsiaTheme="minorEastAsia" w:hAnsi="Cambria Math"/>
                <w:i/>
                <w:lang w:val="el-GR"/>
              </w:rPr>
            </m:ctrlPr>
          </m:sSubPr>
          <m:e>
            <m:r>
              <w:rPr>
                <w:rFonts w:ascii="Cambria Math" w:eastAsiaTheme="minorEastAsia" w:hAnsi="Cambria Math"/>
                <w:lang w:val="el-GR"/>
              </w:rPr>
              <m:t>α</m:t>
            </m:r>
          </m:e>
          <m:sub>
            <m:r>
              <w:rPr>
                <w:rFonts w:ascii="Cambria Math" w:eastAsiaTheme="minorEastAsia" w:hAnsi="Cambria Math"/>
              </w:rPr>
              <m:t>n</m:t>
            </m:r>
          </m:sub>
        </m:sSub>
      </m:oMath>
      <w:r w:rsidR="00984C8D" w:rsidRPr="00577C2B">
        <w:rPr>
          <w:rFonts w:eastAsiaTheme="minorEastAsia"/>
        </w:rPr>
        <w:t>*</w:t>
      </w:r>
      <m:oMath>
        <m:sSub>
          <m:sSubPr>
            <m:ctrlPr>
              <w:rPr>
                <w:rFonts w:ascii="Cambria Math" w:eastAsiaTheme="minorEastAsia" w:hAnsi="Cambria Math"/>
                <w:i/>
                <w:lang w:val="el-GR"/>
              </w:rPr>
            </m:ctrlPr>
          </m:sSubPr>
          <m:e>
            <m:r>
              <w:rPr>
                <w:rFonts w:ascii="Cambria Math" w:eastAsiaTheme="minorEastAsia" w:hAnsi="Cambria Math"/>
              </w:rPr>
              <m:t>h</m:t>
            </m:r>
          </m:e>
          <m:sub>
            <m:r>
              <w:rPr>
                <w:rFonts w:ascii="Cambria Math" w:eastAsiaTheme="minorEastAsia" w:hAnsi="Cambria Math"/>
              </w:rPr>
              <m:t>n</m:t>
            </m:r>
          </m:sub>
        </m:sSub>
      </m:oMath>
      <w:r w:rsidR="00984C8D" w:rsidRPr="00577C2B">
        <w:rPr>
          <w:rFonts w:eastAsiaTheme="minorEastAsia"/>
        </w:rPr>
        <w:t xml:space="preserve"> </w:t>
      </w:r>
      <m:oMath>
        <m:r>
          <w:rPr>
            <w:rFonts w:ascii="Cambria Math" w:eastAsiaTheme="minorEastAsia" w:hAnsi="Cambria Math"/>
          </w:rPr>
          <m:t>≥</m:t>
        </m:r>
        <m:sSub>
          <m:sSubPr>
            <m:ctrlPr>
              <w:rPr>
                <w:rFonts w:ascii="Cambria Math" w:eastAsiaTheme="minorEastAsia" w:hAnsi="Cambria Math"/>
                <w:i/>
                <w:lang w:val="el-GR"/>
              </w:rPr>
            </m:ctrlPr>
          </m:sSubPr>
          <m:e>
            <m:r>
              <w:rPr>
                <w:rFonts w:ascii="Cambria Math" w:eastAsiaTheme="minorEastAsia" w:hAnsi="Cambria Math"/>
                <w:lang w:val="el-GR"/>
              </w:rPr>
              <m:t>α</m:t>
            </m:r>
          </m:e>
          <m:sub>
            <m:r>
              <w:rPr>
                <w:rFonts w:ascii="Cambria Math" w:eastAsiaTheme="minorEastAsia" w:hAnsi="Cambria Math"/>
              </w:rPr>
              <m:t>m</m:t>
            </m:r>
          </m:sub>
        </m:sSub>
      </m:oMath>
      <w:r w:rsidR="00984C8D" w:rsidRPr="00577C2B">
        <w:rPr>
          <w:rFonts w:eastAsiaTheme="minorEastAsia"/>
        </w:rPr>
        <w:t>*</w:t>
      </w:r>
      <m:oMath>
        <m:sSub>
          <m:sSubPr>
            <m:ctrlPr>
              <w:rPr>
                <w:rFonts w:ascii="Cambria Math" w:eastAsiaTheme="minorEastAsia" w:hAnsi="Cambria Math"/>
                <w:i/>
                <w:lang w:val="el-GR"/>
              </w:rPr>
            </m:ctrlPr>
          </m:sSubPr>
          <m:e>
            <m:r>
              <w:rPr>
                <w:rFonts w:ascii="Cambria Math" w:eastAsiaTheme="minorEastAsia" w:hAnsi="Cambria Math"/>
              </w:rPr>
              <m:t>h</m:t>
            </m:r>
          </m:e>
          <m:sub>
            <m:r>
              <w:rPr>
                <w:rFonts w:ascii="Cambria Math" w:eastAsiaTheme="minorEastAsia" w:hAnsi="Cambria Math"/>
                <w:lang w:val="el-GR"/>
              </w:rPr>
              <m:t>m</m:t>
            </m:r>
          </m:sub>
        </m:sSub>
      </m:oMath>
      <w:r w:rsidR="00984C8D" w:rsidRPr="00577C2B">
        <w:rPr>
          <w:rFonts w:eastAsiaTheme="minorEastAsia"/>
        </w:rPr>
        <w:tab/>
      </w:r>
      <w:r w:rsidR="00984C8D" w:rsidRPr="00577C2B">
        <w:rPr>
          <w:rFonts w:eastAsiaTheme="minorEastAsia"/>
        </w:rPr>
        <w:tab/>
      </w:r>
      <w:r w:rsidR="00984C8D" w:rsidRPr="00577C2B">
        <w:rPr>
          <w:rFonts w:eastAsiaTheme="minorEastAsia"/>
        </w:rPr>
        <w:tab/>
      </w:r>
      <w:r w:rsidR="00984C8D" w:rsidRPr="00577C2B">
        <w:rPr>
          <w:rFonts w:eastAsiaTheme="minorEastAsia"/>
        </w:rPr>
        <w:tab/>
      </w:r>
      <w:r w:rsidR="00984C8D" w:rsidRPr="00577C2B">
        <w:rPr>
          <w:rFonts w:eastAsiaTheme="minorEastAsia"/>
        </w:rPr>
        <w:tab/>
      </w:r>
      <w:r w:rsidR="00984C8D" w:rsidRPr="00577C2B">
        <w:rPr>
          <w:rFonts w:eastAsiaTheme="minorEastAsia"/>
        </w:rPr>
        <w:tab/>
      </w:r>
      <w:r w:rsidR="00984C8D" w:rsidRPr="00577C2B">
        <w:rPr>
          <w:rFonts w:eastAsiaTheme="minorEastAsia"/>
        </w:rPr>
        <w:tab/>
      </w:r>
      <w:r w:rsidR="00984C8D" w:rsidRPr="00577C2B">
        <w:rPr>
          <w:rFonts w:eastAsiaTheme="minorEastAsia"/>
        </w:rPr>
        <w:tab/>
      </w:r>
      <w:r w:rsidR="00984C8D">
        <w:rPr>
          <w:rFonts w:eastAsiaTheme="minorEastAsia"/>
        </w:rPr>
        <w:tab/>
        <w:t>(</w:t>
      </w:r>
      <w:r w:rsidR="001A0248">
        <w:rPr>
          <w:rFonts w:eastAsiaTheme="minorEastAsia"/>
        </w:rPr>
        <w:t>15</w:t>
      </w:r>
      <w:r w:rsidR="00984C8D">
        <w:rPr>
          <w:rFonts w:eastAsiaTheme="minorEastAsia"/>
        </w:rPr>
        <w:t>)</w:t>
      </w:r>
    </w:p>
    <w:p w14:paraId="7996A5AB" w14:textId="4C439FDF" w:rsidR="00984C8D" w:rsidRPr="006410D9" w:rsidRDefault="00984C8D" w:rsidP="00984C8D">
      <w:pPr>
        <w:pStyle w:val="SSRNnormal"/>
      </w:pPr>
      <w:r>
        <w:rPr>
          <w:rFonts w:eastAsiaTheme="minorEastAsia"/>
        </w:rPr>
        <w:lastRenderedPageBreak/>
        <w:t xml:space="preserve">In the prior two equations used some impact factors, which are the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p</m:t>
            </m:r>
          </m:sub>
        </m:sSub>
      </m:oMath>
      <w:r>
        <w:rPr>
          <w:rFonts w:eastAsiaTheme="minorEastAsia"/>
        </w:rPr>
        <w:t xml:space="preserve"> which </w:t>
      </w:r>
      <w:r w:rsidR="001A0248">
        <w:rPr>
          <w:rFonts w:eastAsiaTheme="minorEastAsia"/>
        </w:rPr>
        <w:t xml:space="preserve">is </w:t>
      </w:r>
      <w:r>
        <w:rPr>
          <w:rFonts w:eastAsiaTheme="minorEastAsia"/>
        </w:rPr>
        <w:t xml:space="preserve">also demonstrated in </w:t>
      </w:r>
      <w:r w:rsidR="001A0248">
        <w:rPr>
          <w:rFonts w:eastAsiaTheme="minorEastAsia"/>
        </w:rPr>
        <w:t>Eq.</w:t>
      </w:r>
      <w:r>
        <w:rPr>
          <w:rFonts w:eastAsiaTheme="minorEastAsia"/>
        </w:rPr>
        <w:t xml:space="preserve"> (</w:t>
      </w:r>
      <w:r w:rsidR="001A0248">
        <w:rPr>
          <w:rFonts w:eastAsiaTheme="minorEastAsia"/>
        </w:rPr>
        <w:t>14</w:t>
      </w:r>
      <w:r>
        <w:rPr>
          <w:rFonts w:eastAsiaTheme="minorEastAsia"/>
        </w:rPr>
        <w:t>), moreover the variables</w:t>
      </w:r>
      <m:oMath>
        <m:r>
          <w:rPr>
            <w:rFonts w:ascii="Cambria Math" w:eastAsiaTheme="minorEastAsia" w:hAnsi="Cambria Math"/>
          </w:rPr>
          <m:t xml:space="preserve"> </m:t>
        </m:r>
        <m:sSub>
          <m:sSubPr>
            <m:ctrlPr>
              <w:rPr>
                <w:rFonts w:ascii="Cambria Math" w:eastAsiaTheme="minorEastAsia" w:hAnsi="Cambria Math"/>
                <w:i/>
                <w:lang w:val="el-GR"/>
              </w:rPr>
            </m:ctrlPr>
          </m:sSubPr>
          <m:e>
            <m:r>
              <w:rPr>
                <w:rFonts w:ascii="Cambria Math" w:eastAsiaTheme="minorEastAsia" w:hAnsi="Cambria Math"/>
                <w:lang w:val="el-GR"/>
              </w:rPr>
              <m:t>α</m:t>
            </m:r>
          </m:e>
          <m:sub>
            <m:r>
              <w:rPr>
                <w:rFonts w:ascii="Cambria Math" w:eastAsiaTheme="minorEastAsia" w:hAnsi="Cambria Math"/>
              </w:rPr>
              <m:t>r</m:t>
            </m:r>
          </m:sub>
        </m:sSub>
        <m:r>
          <w:rPr>
            <w:rFonts w:ascii="Cambria Math" w:eastAsiaTheme="minorEastAsia" w:hAnsi="Cambria Math"/>
          </w:rPr>
          <m:t>,</m:t>
        </m:r>
      </m:oMath>
      <w:r w:rsidRPr="00577C2B">
        <w:rPr>
          <w:rFonts w:eastAsiaTheme="minorEastAsia"/>
        </w:rPr>
        <w:t xml:space="preserve"> </w:t>
      </w:r>
      <m:oMath>
        <m:sSub>
          <m:sSubPr>
            <m:ctrlPr>
              <w:rPr>
                <w:rFonts w:ascii="Cambria Math" w:eastAsiaTheme="minorEastAsia" w:hAnsi="Cambria Math"/>
                <w:i/>
                <w:lang w:val="el-GR"/>
              </w:rPr>
            </m:ctrlPr>
          </m:sSubPr>
          <m:e>
            <m:r>
              <w:rPr>
                <w:rFonts w:ascii="Cambria Math" w:eastAsiaTheme="minorEastAsia" w:hAnsi="Cambria Math"/>
                <w:lang w:val="el-GR"/>
              </w:rPr>
              <m:t>α</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lang w:val="el-GR"/>
              </w:rPr>
            </m:ctrlPr>
          </m:sSubPr>
          <m:e>
            <m:r>
              <w:rPr>
                <w:rFonts w:ascii="Cambria Math" w:eastAsiaTheme="minorEastAsia" w:hAnsi="Cambria Math"/>
              </w:rPr>
              <m:t>h</m:t>
            </m:r>
          </m:e>
          <m:sub>
            <m:r>
              <w:rPr>
                <w:rFonts w:ascii="Cambria Math" w:eastAsiaTheme="minorEastAsia" w:hAnsi="Cambria Math"/>
              </w:rPr>
              <m:t>n</m:t>
            </m:r>
          </m:sub>
        </m:sSub>
      </m:oMath>
      <w:r>
        <w:rPr>
          <w:rFonts w:eastAsiaTheme="minorEastAsia"/>
        </w:rPr>
        <w:t>,</w:t>
      </w:r>
      <m:oMath>
        <m:sSub>
          <m:sSubPr>
            <m:ctrlPr>
              <w:rPr>
                <w:rFonts w:ascii="Cambria Math" w:eastAsiaTheme="minorEastAsia" w:hAnsi="Cambria Math"/>
                <w:i/>
                <w:lang w:val="el-GR"/>
              </w:rPr>
            </m:ctrlPr>
          </m:sSubPr>
          <m:e>
            <m:r>
              <w:rPr>
                <w:rFonts w:ascii="Cambria Math" w:eastAsiaTheme="minorEastAsia" w:hAnsi="Cambria Math"/>
                <w:lang w:val="el-GR"/>
              </w:rPr>
              <m:t>α</m:t>
            </m:r>
          </m:e>
          <m:sub>
            <m:r>
              <w:rPr>
                <w:rFonts w:ascii="Cambria Math" w:eastAsiaTheme="minorEastAsia" w:hAnsi="Cambria Math"/>
              </w:rPr>
              <m:t>m</m:t>
            </m:r>
          </m:sub>
        </m:sSub>
      </m:oMath>
      <w:r>
        <w:rPr>
          <w:rFonts w:eastAsiaTheme="minorEastAsia"/>
        </w:rPr>
        <w:t xml:space="preserve"> and the </w:t>
      </w:r>
      <m:oMath>
        <m:sSub>
          <m:sSubPr>
            <m:ctrlPr>
              <w:rPr>
                <w:rFonts w:ascii="Cambria Math" w:eastAsiaTheme="minorEastAsia" w:hAnsi="Cambria Math"/>
                <w:i/>
                <w:lang w:val="el-GR"/>
              </w:rPr>
            </m:ctrlPr>
          </m:sSubPr>
          <m:e>
            <m:r>
              <w:rPr>
                <w:rFonts w:ascii="Cambria Math" w:eastAsiaTheme="minorEastAsia" w:hAnsi="Cambria Math"/>
              </w:rPr>
              <m:t>h</m:t>
            </m:r>
          </m:e>
          <m:sub>
            <m:r>
              <w:rPr>
                <w:rFonts w:ascii="Cambria Math" w:eastAsiaTheme="minorEastAsia" w:hAnsi="Cambria Math"/>
                <w:lang w:val="el-GR"/>
              </w:rPr>
              <m:t>m</m:t>
            </m:r>
          </m:sub>
        </m:sSub>
      </m:oMath>
      <w:r>
        <w:rPr>
          <w:rFonts w:eastAsiaTheme="minorEastAsia"/>
        </w:rPr>
        <w:t xml:space="preserve">. The variable </w:t>
      </w:r>
      <m:oMath>
        <m:sSub>
          <m:sSubPr>
            <m:ctrlPr>
              <w:rPr>
                <w:rFonts w:ascii="Cambria Math" w:eastAsiaTheme="minorEastAsia" w:hAnsi="Cambria Math"/>
                <w:i/>
                <w:lang w:val="el-GR"/>
              </w:rPr>
            </m:ctrlPr>
          </m:sSubPr>
          <m:e>
            <m:r>
              <w:rPr>
                <w:rFonts w:ascii="Cambria Math" w:eastAsiaTheme="minorEastAsia" w:hAnsi="Cambria Math"/>
                <w:lang w:val="el-GR"/>
              </w:rPr>
              <m:t>α</m:t>
            </m:r>
          </m:e>
          <m:sub>
            <m:r>
              <w:rPr>
                <w:rFonts w:ascii="Cambria Math" w:eastAsiaTheme="minorEastAsia" w:hAnsi="Cambria Math"/>
              </w:rPr>
              <m:t>r</m:t>
            </m:r>
          </m:sub>
        </m:sSub>
      </m:oMath>
      <w:r>
        <w:rPr>
          <w:rFonts w:eastAsiaTheme="minorEastAsia"/>
        </w:rPr>
        <w:t xml:space="preserve">symbolizes the impact factor of the rest rewarding taxes. The symbol of </w:t>
      </w:r>
      <m:oMath>
        <m:sSub>
          <m:sSubPr>
            <m:ctrlPr>
              <w:rPr>
                <w:rFonts w:ascii="Cambria Math" w:eastAsiaTheme="minorEastAsia" w:hAnsi="Cambria Math"/>
                <w:i/>
                <w:lang w:val="el-GR"/>
              </w:rPr>
            </m:ctrlPr>
          </m:sSubPr>
          <m:e>
            <m:r>
              <w:rPr>
                <w:rFonts w:ascii="Cambria Math" w:eastAsiaTheme="minorEastAsia" w:hAnsi="Cambria Math"/>
                <w:lang w:val="el-GR"/>
              </w:rPr>
              <m:t>α</m:t>
            </m:r>
          </m:e>
          <m:sub>
            <m:r>
              <w:rPr>
                <w:rFonts w:ascii="Cambria Math" w:eastAsiaTheme="minorEastAsia" w:hAnsi="Cambria Math"/>
              </w:rPr>
              <m:t>n</m:t>
            </m:r>
          </m:sub>
        </m:sSub>
      </m:oMath>
      <w:r>
        <w:rPr>
          <w:rFonts w:eastAsiaTheme="minorEastAsia"/>
        </w:rPr>
        <w:t xml:space="preserve"> is the impact factor of education and any technical knowledge</w:t>
      </w:r>
      <w:r w:rsidR="009D6EEA">
        <w:rPr>
          <w:rFonts w:eastAsiaTheme="minorEastAsia"/>
        </w:rPr>
        <w:t xml:space="preserve"> </w:t>
      </w:r>
      <w:r w:rsidR="009D6EEA">
        <w:rPr>
          <w:rFonts w:eastAsiaTheme="minorEastAsia"/>
        </w:rPr>
        <w:fldChar w:fldCharType="begin" w:fldLock="1"/>
      </w:r>
      <w:r w:rsidR="00170442">
        <w:rPr>
          <w:rFonts w:eastAsiaTheme="minorEastAsia"/>
        </w:rPr>
        <w:instrText>ADDIN CSL_CITATION {"citationItems":[{"id":"ITEM-1","itemData":{"DOI":"https://doi.org/10.2478/eb-2019-0016","ISSN":"2256-0394","abstract":"The paper deals with the methods used by companies for controlled transactions in services. The author performs an analysis of the ways a company that takes part in controlled transactions of transfer pricing can tackle tax issues using an adequate tax method. Services should comply with the arm’s length principle. Therefore, the best method rule and the comparability analysis have a critical role in the arm’s length principle of services. The paper compares the results of transfer pricing services with the transfer pricing of goods to conclude the similarities. The object of the paper is to determine the importance of the application of fixed length principle, meaning the application of additional tax for controlled transactions and declined tax for uncontrolled transactions. Therefore, this scrutiny showed that the unstable tax environments force enterprises to proceed to controlled transactions.","author":[{"dropping-particle":"","family":"Challoumis","given":"Constantinos","non-dropping-particle":"","parse-names":false,"suffix":""}],"container-title":"Economics and Business","id":"ITEM-1","issue":"1","issued":{"date-parts":[["2019"]]},"page":"222 - 232","title":"Transfer Pricing Methods for Services and the Policy of Fixed Length Principle","type":"article-journal","volume":"33"},"uris":["http://www.mendeley.com/documents/?uuid=2b74b7ae-c00a-3ff1-a43c-96a741330f27"]},{"id":"ITEM-2","itemData":{"DOI":"10.1177/0952076719827062","ISSN":"09520767","abstract":"In the past decade, behavioural approaches to policy design have spread across jurisdictions and policy areas. While the number of studies on successful behavioural interventions continuously increases, scholars are reporting unintended side effects and other forms of policy failures associated with behavioural public policy. The paper aims at getting a better understanding of the various mechanisms of behavioural change and their impact on the success or failure of policies. Behavioural public policy failures seem to be the result of a deficit in understanding the links between cognitive and social mechanisms on multiple levels. It is being argued that systematically linking the mechanisms underlying behavioural change will help us to get a better understanding of the biases and unintended effects of policy design. The paper concludes by drawing more general lessons for the design of behavioural instruments.","author":[{"dropping-particle":"","family":"Strassheim","given":"Holger","non-dropping-particle":"","parse-names":false,"suffix":""}],"container-title":"Public Policy and Administration","id":"ITEM-2","issued":{"date-parts":[["2019"]]},"title":"Behavioural mechanisms and public policy design: Preventing failures in behavioural public policy","type":"article-journal"},"uris":["http://www.mendeley.com/documents/?uuid=ca72742f-b6ca-306d-b68b-c50cc0f8264b"]},{"id":"ITEM-3","itemData":{"DOI":"10.33764/2618-981x-2020-3-1-209-218","ISSN":"2618-981X","abstract":"The report provides a comparative analysis of the current state of the countries of Scandinavia and Siberia. The purpose of the study: to show that sound state economic policies of the countries of Northern Europe lead to undeniable socio-economic progress. Based on the World Bank ratings, information from Rosstat of Russia, and expert opinions, the components of such a policy and the possibility of borrowing the experience of other countries in reforming economies are analyzed. Based on the specific tasks facing the system of regional planning and forecasting in the context of current trends in the development of Russia and the increasing impact of negative foreign economic and foreign policy factors on it, taking into account the experience of Scandinavia, the focus is on the role of technological development and innovation, state support of entrepreneurship. Institutional conditions for the implementation of nationwide reforms of federal relations and mechanisms to overcome stagnation in the development of Siberia are discussed.","author":[{"dropping-particle":"","family":"Suslov","given":"Victor I.","non-dropping-particle":"","parse-names":false,"suffix":""},{"dropping-particle":"","family":"Basareva","given":"Vera G.","non-dropping-particle":"","parse-names":false,"suffix":""}],"container-title":"Interexpo GEO-Siberia","id":"ITEM-3","issue":"1","issued":{"date-parts":[["2020"]]},"title":"ECONOMIC DEVELOPMENT AND PUBLIC POLICY: SCANDINAVIA AND SIBERIA","type":"article-journal","volume":"3"},"uris":["http://www.mendeley.com/documents/?uuid=c0b51c16-f50d-3215-9497-ab8a0398fe0d"]},{"id":"ITEM-4","itemData":{"DOI":"10.1002/poi3.165","ISSN":"19442866","abstract":"This editorial introduces the articles in our Special Issue (9:3–4) of Policy &amp; Internet on “The Platform Society,” arising from the journal's IPP2016 conference held at the University of Oxford on September 22–23, 2016. The editorial provides an outline of existing academic research on online platforms; discusses platform labor, platform governance, and platform politics as three key research themes; and discusses the implications for public policy and future research directions.","author":[{"dropping-particle":"","family":"Nash","given":"Victoria","non-dropping-particle":"","parse-names":false,"suffix":""},{"dropping-particle":"","family":"Bright","given":"Jonathan","non-dropping-particle":"","parse-names":false,"suffix":""},{"dropping-particle":"","family":"Margetts","given":"Helen","non-dropping-particle":"","parse-names":false,"suffix":""},{"dropping-particle":"","family":"Lehdonvirta","given":"Vili","non-dropping-particle":"","parse-names":false,"suffix":""}],"container-title":"Policy and Internet","id":"ITEM-4","issue":"4","issued":{"date-parts":[["2017"]]},"title":"Public Policy in the Platform Society","type":"article","volume":"9"},"uris":["http://www.mendeley.com/documents/?uuid=0391ae13-80d0-3a6f-965f-e6c24f5e4f34"]},{"id":"ITEM-5","itemData":{"DOI":"10.1080/17441692.2012.725752","ISSN":"17441692","abstract":"This article examines how pandemic influenza has been framed as a security issue, threatening the functioning of both state and society, and the policy responses to this framing. Pandemic influenza has long been recognised as a threat to human health. Despite this, for much of the twentieth century it was not recognised as a security threat. In the decade surrounding the new millennium, however, the disease was successfully securitised with profound implications for public policy. This article addresses the construction of pandemic influenza as a threat. Drawing on the work of the Copenhagen School, it examines how it was successfully securitised at the turn of the millennium and with what consequences for public policy. © 2012 Copyright Taylor and Francis Group, LLC.","author":[{"dropping-particle":"","family":"Kamradt-Scott","given":"Adam","non-dropping-particle":"","parse-names":false,"suffix":""},{"dropping-particle":"","family":"McInnes","given":"Colin","non-dropping-particle":"","parse-names":false,"suffix":""}],"container-title":"Global Public Health","id":"ITEM-5","issue":"SUPPL. 2","issued":{"date-parts":[["2012"]]},"title":"The securitisation of pandemic influenza: Framing, security and public policy","type":"article-journal","volume":"7"},"uris":["http://www.mendeley.com/documents/?uuid=ccf5b404-222c-3c8b-98ee-7ad278a891d5"]},{"id":"ITEM-6","itemData":{"DOI":"10.1002/jid.995","ISSN":"09541748","abstract":"Conflicts within the Malaysian federation have been rooted in socio-economic disparities and the struggle for control of natural resource rents, which state governments previously had exclusive control over, as originally provided for by the federal constitution. The advance of fiscal centralization since then has also aggravated federal-state tensions, which have been relatively ignored due to the long-standing Malaysian pre-occupation with inter-ethnic tensions. Inter-regional resource transfers and central fiscal and political dominance have been used to undermine the more independent state governments, especially those held by opposition parties. While the federal government is clearly dominant, central control over the state governments has varied, especially in Sabah and Sarawak, with the continued hegemony of the national ruling coalition depending on successfully combining the carrot with the stick. Copyright © 2003 John Wiley and Sons, Ltd.","author":[{"dropping-particle":"","family":"Jomo","given":"K. S.","non-dropping-particle":"","parse-names":false,"suffix":""},{"dropping-particle":"","family":"Wee","given":"Chong Hui","non-dropping-particle":"","parse-names":false,"suffix":""}],"container-title":"Journal of International Development","id":"ITEM-6","issue":"4","issued":{"date-parts":[["2003"]]},"title":"The political economy of Malaysian federalism: Economic development, public policy and conflict containment","type":"article-journal","volume":"15"},"uris":["http://www.mendeley.com/documents/?uuid=eb7a560e-5987-30ab-9d84-985e28554b22"]},{"id":"ITEM-7","itemData":{"ISSN":"1867-139X","abstract":"The rise of artificial intelligence &amp; robotics is expected to create a wealth of opportunities to sustain growth and development over the next decades. It could trigger a wave of productivity gains and fuel revolutions in healthcare, transportation, education, security, justice, agriculture, retail, commerce, finance, insurance, banking and more.","author":[{"dropping-particle":"","family":"Miailhe","given":"Nicolas","non-dropping-particle":"","parse-names":false,"suffix":""}],"container-title":"Field Actions Science Reports. The journal of field actions","id":"ITEM-7","issue":"Special Issue 17","issued":{"date-parts":[["2017"]]},"title":"Economic, Social and Public Policy Opportunities enabled by Automation","type":"article-journal"},"uris":["http://www.mendeley.com/documents/?uuid=0e4864d1-a132-3726-8175-f02efc9ef917"]},{"id":"ITEM-8","itemData":{"DOI":"10.3390/su11143769","ISSN":"20711050","abstract":"Creation of a sustainable agricultural sector involves boosting the cooperation activities as these contribute to the societal and economic development of the farms, farmers and rural societies. This paper contributes to the literature on the analysis of the drivers and obstacles of cooperation development in agriculture. The case of Lithuania is considered as the cooperation activities are lagging behind the European Union (EU) practice here. Specifically, analysis of the public support measures and the expert survey are carried out to analyse the effectiveness of the public policy measures as represented in the relevant legal acts. The experts involve policy makers, farmers' organisations and academia, which are the major stakeholder groups in Lithuania. The results indicate the effectiveness of the measures linked to capacity building (in the sense of human capital) requires improvement, whereas those related to financial support and promotion of the farmers' organisations are much better perceived. Thus, public support measures are available to promote cooperation in agriculture, yet the legal system of Lithuania still requires improvement in accommodating effective agricultural cooperatives.","author":[{"dropping-particle":"","family":"Ribašauskiene","given":"Erika","non-dropping-particle":"","parse-names":false,"suffix":""},{"dropping-particle":"","family":"Šumyle","given":"Diana","non-dropping-particle":"","parse-names":false,"suffix":""},{"dropping-particle":"","family":"Volkov","given":"Artiom","non-dropping-particle":"","parse-names":false,"suffix":""},{"dropping-particle":"","family":"Baležentis","given":"Tomas","non-dropping-particle":"","parse-names":false,"suffix":""},{"dropping-particle":"","family":"Streimikiene","given":"Dalia","non-dropping-particle":"","parse-names":false,"suffix":""},{"dropping-particle":"","family":"Morkunas","given":"Mangirdas","non-dropping-particle":"","parse-names":false,"suffix":""}],"container-title":"Sustainability (Switzerland)","id":"ITEM-8","issue":"14","issued":{"date-parts":[["2019"]]},"title":"Evaluating public policy support for agricultural cooperatives","type":"article-journal","volume":"11"},"uris":["http://www.mendeley.com/documents/?uuid=d68f99ed-c2b2-321f-bb8a-b9045fa2c0f7"]},{"id":"ITEM-9","itemData":{"abstract":"Within the broader content of the political system, public policy comprising several elements aiming at achieving certain interests, goals and objectives is a skilful, comprehensive, enforceable, binding, legitimate, authoritative, deliberate and purposeful framework of and for interaction within which a multiplicity of policy decisions by political office-bearers can be made and various courses of action can be put into operation by public officials in order to realize the predetermined governmental aims and objectives as economically, efficiently and effectively. However, policy is not static as it should be reformulated and adapted continually on the basis of experience, research in the relative field of operation, and changing circumstances and needs; and these are always factors which serve to change the nature and the extent of the activities of public institution. All these aspects constitute the subject-matter of this article.","author":[{"dropping-particle":"","family":"Marume","given":"S.B.M.","non-dropping-particle":"","parse-names":false,"suffix":""}],"container-title":"International Journal of Engineering Science Invention","id":"ITEM-9","issue":"6","issued":{"date-parts":[["2016"]]},"title":"Public Policy and Factors Influencing Public Policy","type":"article-journal","volume":"5"},"uris":["http://www.mendeley.com/documents/?uuid=426c3424-504b-3d77-a7ff-11853c6d4346"]},{"id":"ITEM-10","itemData":{"DOI":"10.1080/01442872.2017.1360437","ISSN":"14701006","abstract":"Markets are powerful mechanisms for social coordination but critics claim that there are potential negative impacts. Market exchange can exacerbate inequalities in society. The invisible hand of market decision-making can lead to major social choices not being publicly aired. Market mechanisms can crowd out moral motivations with negative consequences. Water markets have long been promoted as one of the most efficient ways to reallocate water by economists. Focusing on an exemplary implementation of the water market in Australia, our results suggest that some features of the way market-based governance systems work match the concerns of market critics.","author":[{"dropping-particle":"","family":"Hasselman","given":"Lyndal","non-dropping-particle":"","parse-names":false,"suffix":""},{"dropping-particle":"","family":"Stoker","given":"Gerry","non-dropping-particle":"","parse-names":false,"suffix":""}],"container-title":"Policy Studies","id":"ITEM-10","issue":"5","issued":{"date-parts":[["2017"]]},"title":"Market-based governance and water management: the limits to economic rationalism in public policy","type":"article-journal","volume":"38"},"uris":["http://www.mendeley.com/documents/?uuid=7e6ea4a1-5da7-36b8-b58c-1db464629439"]},{"id":"ITEM-11","itemData":{"DOI":"10.1016/j.econmod.2014.10.040","ISSN":"02649993","abstract":"This paper considers the implications of environmental tax reform and public spending policy for growth and welfare. Using a two-sector endogenous growth model where the interactions between health, education, and the environment are taken into account, we show that revenue-positive tax reforms combined with a change in the public spending structure may improve long-run growth and welfare. However, this outcome incurs relatively high welfare cost during the transition phase. This is particularly the case when the spending policy favors education spending.","author":[{"dropping-particle":"","family":"Oueslati","given":"Walid","non-dropping-particle":"","parse-names":false,"suffix":""}],"container-title":"Economic Modelling","id":"ITEM-11","issued":{"date-parts":[["2015"]]},"title":"Growth and welfare effects of environmental tax reform and public spending policy","type":"article-journal","volume":"45"},"uris":["http://www.mendeley.com/documents/?uuid=7b524d8d-9f8e-3ead-b38e-97f58cc95725"]},{"id":"ITEM-12","itemData":{"DOI":"10.1111/rego.12354","ISSN":"17485991","abstract":"What problems can private regulatory governance solve, and what role should public policy play? Despite access to the same empirical evidence, the current scholarship on private governance offers widely divergent answers to these questions. Through a critical review, this paper details five ontologically distinct academic logics – calculated strategic behavior; learning and experimentalist processes; political institutionalism; global value chain and convention theory; and neo-Gramscian accounts – that offer divergent conclusions based on the particular facets of private governance they illuminate, while ignoring those they obfuscate. In this crowded marketplace of ideas, scholars and practitioners are in danger of adverse ontological selection whereby certain approaches and insights are systematically ignored and certain problem conceptions are prioritized over others. As a corrective, we encourage scholars to make their assumptions explicit, and occasionally switch between logics, to better understand private governance's problem-solving potential and its interactions with public policy.","author":[{"dropping-particle":"","family":"Grabs","given":"Janina","non-dropping-particle":"","parse-names":false,"suffix":""},{"dropping-particle":"","family":"Auld","given":"Graeme","non-dropping-particle":"","parse-names":false,"suffix":""},{"dropping-particle":"","family":"Cashore","given":"Benjamin","non-dropping-particle":"","parse-names":false,"suffix":""}],"container-title":"Regulation and Governance","id":"ITEM-12","issued":{"date-parts":[["2020"]]},"title":"Private regulation, public policy, and the perils of adverse ontological selection","type":"article-journal"},"uris":["http://www.mendeley.com/documents/?uuid=bb2185b4-f0c7-387a-ac76-89091558fe66"]}],"mendeley":{"formattedCitation":"(Challoumis, 2019g; Grabs et al., 2020; Hasselman &amp; Stoker, 2017; Jomo &amp; Wee, 2003; Kamradt-Scott &amp; McInnes, 2012; Marume, 2016; Miailhe, 2017; Nash et al., 2017; Oueslati, 2015; Ribašauskiene et al., 2019; Strassheim, 2019; Suslov &amp; Basareva, 2020)","plainTextFormattedCitation":"(Challoumis, 2019g; Grabs et al., 2020; Hasselman &amp; Stoker, 2017; Jomo &amp; Wee, 2003; Kamradt-Scott &amp; McInnes, 2012; Marume, 2016; Miailhe, 2017; Nash et al., 2017; Oueslati, 2015; Ribašauskiene et al., 2019; Strassheim, 2019; Suslov &amp; Basareva, 2020)","previouslyFormattedCitation":"(Challoumis, 2019g; Grabs et al., 2020; Hasselman &amp; Stoker, 2017; Jomo &amp; Wee, 2003; Kamradt-Scott &amp; McInnes, 2012; Marume, 2016; Miailhe, 2017; Nash et al., 2017; Oueslati, 2015; Ribašauskiene et al., 2019; Strassheim, 2019; Suslov &amp; Basareva, 2020)"},"properties":{"noteIndex":0},"schema":"https://github.com/citation-style-language/schema/raw/master/csl-citation.json"}</w:instrText>
      </w:r>
      <w:r w:rsidR="009D6EEA">
        <w:rPr>
          <w:rFonts w:eastAsiaTheme="minorEastAsia"/>
        </w:rPr>
        <w:fldChar w:fldCharType="separate"/>
      </w:r>
      <w:r w:rsidR="009D6EEA" w:rsidRPr="009D6EEA">
        <w:rPr>
          <w:rFonts w:eastAsiaTheme="minorEastAsia"/>
          <w:noProof/>
        </w:rPr>
        <w:t>(Challoumis, 2019g; Grabs et al., 2020; Hasselman &amp; Stoker, 2017; Jomo &amp; Wee, 2003; Kamradt-Scott &amp; McInnes, 2012; Marume, 2016; Miailhe, 2017; Nash et al., 2017; Oueslati, 2015; Ribašauskiene et al., 2019; Strassheim, 2019; Suslov &amp; Basareva, 2020)</w:t>
      </w:r>
      <w:r w:rsidR="009D6EEA">
        <w:rPr>
          <w:rFonts w:eastAsiaTheme="minorEastAsia"/>
        </w:rPr>
        <w:fldChar w:fldCharType="end"/>
      </w:r>
      <w:r>
        <w:rPr>
          <w:rFonts w:eastAsiaTheme="minorEastAsia"/>
        </w:rPr>
        <w:t xml:space="preserve">. The symbol of </w:t>
      </w:r>
      <m:oMath>
        <m:sSub>
          <m:sSubPr>
            <m:ctrlPr>
              <w:rPr>
                <w:rFonts w:ascii="Cambria Math" w:eastAsiaTheme="minorEastAsia" w:hAnsi="Cambria Math"/>
                <w:i/>
                <w:lang w:val="el-GR"/>
              </w:rPr>
            </m:ctrlPr>
          </m:sSubPr>
          <m:e>
            <m:r>
              <w:rPr>
                <w:rFonts w:ascii="Cambria Math" w:eastAsiaTheme="minorEastAsia" w:hAnsi="Cambria Math"/>
                <w:lang w:val="el-GR"/>
              </w:rPr>
              <m:t>α</m:t>
            </m:r>
          </m:e>
          <m:sub>
            <m:r>
              <w:rPr>
                <w:rFonts w:ascii="Cambria Math" w:eastAsiaTheme="minorEastAsia" w:hAnsi="Cambria Math"/>
              </w:rPr>
              <m:t>m</m:t>
            </m:r>
          </m:sub>
        </m:sSub>
      </m:oMath>
      <w:r>
        <w:rPr>
          <w:rFonts w:eastAsiaTheme="minorEastAsia"/>
        </w:rPr>
        <w:t xml:space="preserve"> is about the impact factor of health anything relevant and supporting of this issue. The symbol of</w:t>
      </w:r>
      <m:oMath>
        <m:r>
          <w:rPr>
            <w:rFonts w:ascii="Cambria Math" w:eastAsiaTheme="minorEastAsia" w:hAnsi="Cambria Math"/>
          </w:rPr>
          <m:t xml:space="preserve"> </m:t>
        </m:r>
        <m:sSub>
          <m:sSubPr>
            <m:ctrlPr>
              <w:rPr>
                <w:rFonts w:ascii="Cambria Math" w:eastAsiaTheme="minorEastAsia" w:hAnsi="Cambria Math"/>
                <w:i/>
                <w:lang w:val="el-GR"/>
              </w:rPr>
            </m:ctrlPr>
          </m:sSubPr>
          <m:e>
            <m:r>
              <w:rPr>
                <w:rFonts w:ascii="Cambria Math" w:eastAsiaTheme="minorEastAsia" w:hAnsi="Cambria Math"/>
              </w:rPr>
              <m:t>h</m:t>
            </m:r>
          </m:e>
          <m:sub>
            <m:r>
              <w:rPr>
                <w:rFonts w:ascii="Cambria Math" w:eastAsiaTheme="minorEastAsia" w:hAnsi="Cambria Math"/>
              </w:rPr>
              <m:t>n</m:t>
            </m:r>
          </m:sub>
        </m:sSub>
      </m:oMath>
      <w:r>
        <w:rPr>
          <w:rFonts w:eastAsiaTheme="minorEastAsia"/>
        </w:rPr>
        <w:t>, and of the</w:t>
      </w:r>
      <m:oMath>
        <m:r>
          <w:rPr>
            <w:rFonts w:ascii="Cambria Math" w:eastAsiaTheme="minorEastAsia" w:hAnsi="Cambria Math"/>
          </w:rPr>
          <m:t xml:space="preserve"> </m:t>
        </m:r>
        <m:sSub>
          <m:sSubPr>
            <m:ctrlPr>
              <w:rPr>
                <w:rFonts w:ascii="Cambria Math" w:eastAsiaTheme="minorEastAsia" w:hAnsi="Cambria Math"/>
                <w:i/>
                <w:lang w:val="el-GR"/>
              </w:rPr>
            </m:ctrlPr>
          </m:sSubPr>
          <m:e>
            <m:r>
              <w:rPr>
                <w:rFonts w:ascii="Cambria Math" w:eastAsiaTheme="minorEastAsia" w:hAnsi="Cambria Math"/>
              </w:rPr>
              <m:t xml:space="preserve"> h</m:t>
            </m:r>
          </m:e>
          <m:sub>
            <m:r>
              <w:rPr>
                <w:rFonts w:ascii="Cambria Math" w:eastAsiaTheme="minorEastAsia" w:hAnsi="Cambria Math"/>
                <w:lang w:val="el-GR"/>
              </w:rPr>
              <m:t>m</m:t>
            </m:r>
          </m:sub>
        </m:sSub>
        <m:r>
          <w:rPr>
            <w:rFonts w:ascii="Cambria Math" w:eastAsiaTheme="minorEastAsia" w:hAnsi="Cambria Math"/>
          </w:rPr>
          <m:t xml:space="preserve">, </m:t>
        </m:r>
      </m:oMath>
      <w:r>
        <w:rPr>
          <w:rFonts w:eastAsiaTheme="minorEastAsia"/>
        </w:rPr>
        <w:t>are the coefficients of the health and the health impact factor accordingly</w:t>
      </w:r>
      <w:r w:rsidR="00F67AB7">
        <w:rPr>
          <w:rFonts w:eastAsiaTheme="minorEastAsia"/>
        </w:rPr>
        <w:t xml:space="preserve"> </w:t>
      </w:r>
      <w:r w:rsidR="00F67AB7">
        <w:rPr>
          <w:rFonts w:eastAsiaTheme="minorEastAsia"/>
        </w:rPr>
        <w:fldChar w:fldCharType="begin" w:fldLock="1"/>
      </w:r>
      <w:r w:rsidR="00F67AB7">
        <w:rPr>
          <w:rFonts w:eastAsiaTheme="minorEastAsia"/>
        </w:rPr>
        <w:instrText>ADDIN CSL_CITATION {"citationItems":[{"id":"ITEM-1","itemData":{"DOI":"10.1177/002795011924900110","ISSN":"17413036","abstract":"Gross Domestic Product (GDP) is often treated as shorthand for national economic well-being, even though it was never intended to be; it is a measure of (some) of the marketable output of the economy. This paper reviews several developments in measuring welfare beyond GDP that were recently presented at the Economic Statistics Centre of Excellence (ESCoE) annual conference in May 2019. The papers discussed fall into three broad areas. First, a significant amount of work has focused on incorporating information about the distribution of income, consumption and wealth in the national accounts. Second, the effects of digitisation and the growth of the internet highlight the potential value in measuring time use as a measure of welfare. Third, the digital revolution has spawned many new, often ‘free’ goods, the welfare consequences of which are difficult to measure. Other areas, such as government services, are also difficult to measure. Measuring economic welfare properly matters because it affects the decisions made by government and society. GDP does a reasonable job of measuring the marketable output of the economy (which remains important for some policies), but it should be downgraded; more attention should be given to measures that reflect both objective and subjective measures of well-being, and measures that better reflect the heterogeneity of peoples' experiences.","author":[{"dropping-particle":"","family":"Aitken","given":"Andrew","non-dropping-particle":"","parse-names":false,"suffix":""}],"container-title":"National Institute Economic Review","id":"ITEM-1","issue":"1","issued":{"date-parts":[["2019"]]},"title":"Measuring Welfare Beyond GDP","type":"article-journal","volume":"249"},"uris":["http://www.mendeley.com/documents/?uuid=28da1b8c-97ba-3012-bbfa-f862a3ce054c"]},{"id":"ITEM-2","itemData":{"DOI":"10.2139/ssrn.1152105","ISSN":"1556-5068","abstract":"The focus and contribution of behavioral economics is discussed in detail focusing on its varied contribution to economic theory, economic analysis, and public policy. Recent contributions related to the work of Kahneman and Tversky's heuristics and biases paradigm are critically assessed in the context of the much wider scope of the behavioral line of research that ultimately flows from the empirically based understanding that the realism of ones simplifying assumptions matter for the construction rigorous economic theory. Such assumptions are not only psychological in nature, but also biological, sociological, and institutional. Moreover, behavioral economics is much more than consumer behavior and behavior on financial markets, a preeminent focus of contemporary behavioral economics. It is also very much concerned with theories of production, theories of the firm, household behavior, and institutions. Findings of behavioral economists tend to refute the notion that individuals behave neoclassically, giving rise to a literature and debate as to which heuristics and sociological and institutional priors are rational, which yield optimal economic results, and which tend to improve socioeconomic welfare. Although many contemporary behavior economists argue that individuals are fundamentally irrational because they do not behave neoclassically, a forceful narrative remains which considers non-neoclassical behavior rational, yielding optimal economic results under particular conditions. A common thread running through behavioral economic is that modeling assumptions matter and that conventional theory is seriously wanting in this front with significant implication for economic analysis, theory and public policy, some which are discussed in this article.","author":[{"dropping-particle":"","family":"Altman","given":"Morris","non-dropping-particle":"","parse-names":false,"suffix":""}],"container-title":"SSRN Electronic Journal","id":"ITEM-2","issued":{"date-parts":[["2012"]]},"title":"Behavioral Economics, Economic Theory and Public Policy","type":"article-journal"},"uris":["http://www.mendeley.com/documents/?uuid=6cb5d93f-e220-3739-a5ac-2d4eeafaa370"]},{"id":"ITEM-3","itemData":{"DOI":"10.1017/bpp.2020.17","ISSN":"2398-063X","abstract":" Policymakers are increasingly turning to insights gained from the experimental method as a means to inform large-scale public policies. Critics view this increased usage as premature, pointing to the fact that many experimentally tested programs fail to deliver their promise at scale. Under this view, the experimental approach drives too much public policy. Yet, if policymakers could be more confident that the original research findings would be delivered at scale, even the staunchest critics would carve out a larger role for experiments to inform policy. Leveraging the economic framework of Al-Ubaydli et al. (2019), we put forward 12 simple proposals, spanning researchers, policymakers, funders and stakeholders, which together tackle the most vexing scalability threats. The framework highlights that only after we deepen our understanding of the scale-up problem will we be on solid ground to argue that scientific experiments should hold a more prominent place in the policymaker's quiver. ","author":[{"dropping-particle":"","family":"AL-UBAYDLI","given":"OMAR","non-dropping-particle":"","parse-names":false,"suffix":""},{"dropping-particle":"","family":"LEE","given":"MIN SOK","non-dropping-particle":"","parse-names":false,"suffix":""},{"dropping-particle":"","family":"LIST","given":"JOHN A.","non-dropping-particle":"","parse-names":false,"suffix":""},{"dropping-particle":"","family":"MACKEVICIUS","given":"CLAIRE L.","non-dropping-particle":"","parse-names":false,"suffix":""},{"dropping-particle":"","family":"SUSKIND","given":"DANA","non-dropping-particle":"","parse-names":false,"suffix":""}],"container-title":"Behavioural Public Policy","id":"ITEM-3","issue":"1","issued":{"date-parts":[["2021"]]},"title":"How can experiments play a greater role in public policy? Twelve proposals from an economic model of scaling","type":"article-journal","volume":"5"},"uris":["http://www.mendeley.com/documents/?uuid=45da8519-8584-32bb-8a1c-a2b7bfc27217"]},{"id":"ITEM-4","itemData":{"DOI":"10.1016/j.renene.2013.11.029","ISSN":"09601481","abstract":"The motivation for this research was to determine the influence of public policies on economic feasibility of producing algal biodiesel in a system that produced all its energy needs internally. To achieve this, a steady-state mass balance/unit operation system was modeled first. Open raceway technology was assumed for the production of algal feedstock, and the residual biomass after oil extraction was assumed fermented to produce ethanol for the transesterification process. The project assumed the production of 50 million gallons of biodiesel per year and using about 14% of the diesel output to supplement internal energy requirements. It sold the remainder biodiesel and ethanol as pure biofuels to maximize the rents from the renewable fuel standards quota system. Assuming a peak daily yield of 500kg algal biomass (dry basis)/ha, the results show that production of algal biodiesel under the foregoing constraints is only economically feasible with direct and indirect public policy intervention. For example, the renewable fuel standards' tracking RIN (Renewable fuel Identification Number) system provides a treasury-neutral value for biofuel producers as does the reinstatement of the renewable fuel tax credit. Additionally, the capital costs of an integrated system are such that some form of capital cost grant from the government would support the economic feasibility of the algal biodiesel production. © 2014 Elsevier Ltd.","author":[{"dropping-particle":"","family":"Amanor-Boadu","given":"Vincent","non-dropping-particle":"","parse-names":false,"suffix":""},{"dropping-particle":"","family":"Pfromm","given":"Peter H.","non-dropping-particle":"","parse-names":false,"suffix":""},{"dropping-particle":"","family":"Nelson","given":"Richard","non-dropping-particle":"","parse-names":false,"suffix":""}],"container-title":"Renewable Energy","id":"ITEM-4","issued":{"date-parts":[["2014"]]},"title":"Economic feasibility of algal biodiesel under alternative public policies","type":"article-journal","volume":"67"},"uris":["http://www.mendeley.com/documents/?uuid=1d9ed202-ba3d-3a71-a12d-7fd10f9c1e26"]},{"id":"ITEM-5","itemData":{"DOI":"10.5267/j.msl.2018.12.008","ISSN":"19239343","abstract":"This paper examines the relationship between public policy and education management in Indonesia by looking at various indicators influencing the public policy and the education management. For education management, factors like education achievement at elementary &amp; higher school, college enrolment, job market in both local and international levels and social development are observed. Public policy is studied through work force development, higher education, brain drain, public safety, constitutional convention, job approval, legislature and operation policies. To examine this association, a survey questionnaire is developed and presented on various respondents regarding public policy and education management. A sample of 327 respondents is empirically examined and it is observed that the effect of work force development on elementary school achievement was significant while the effect of brain drains, job approval and legislature were crucial for the presented indicators of education management. Further studies can be conducted while considering other aspects of both public policy and education.","author":[{"dropping-particle":"","family":"Andriansyah","given":"Andriansyah","non-dropping-particle":"","parse-names":false,"suffix":""},{"dropping-particle":"","family":"Taufiqurokhman","given":"Taufiqurokhman","non-dropping-particle":"","parse-names":false,"suffix":""},{"dropping-particle":"","family":"Wekke","given":"Ismail Suardi","non-dropping-particle":"","parse-names":false,"suffix":""}],"container-title":"Management Science Letters","id":"ITEM-5","issue":"3","issued":{"date-parts":[["2019"]]},"title":"Responsiveness of public policy and its impact on education management: An empirical assessment from Indonesia","type":"article-journal","volume":"9"},"uris":["http://www.mendeley.com/documents/?uuid=5f110a41-b640-3dfe-846b-7fb54ec97bbd"]},{"id":"ITEM-6","itemData":{"DOI":"10.24818/amp/2019.32-03","ISSN":"15839583","abstract":"The importance of studying tax evasion derives from its effects. The state budget of public revenues, which could be used to finance public health services, education, public order and safety, etc., is being damaged by evasion. At the same time, tax evasion also has negative effects in the market economy, generating unfair competition. The study of tax evasion is of major relevance in determining the degree of economic, social and even cultural development of a country. The analysis of tax evasion aims at identifying the causes that lead to tax evasion, as well as identifying new solutions for higher voluntary compliance. The work is focused on the analysis of the causes and effects that will indicate the possible solutions to be applied in order to reduce the phenomenon of evasion tax. The results of the research show the impact of fiscal policies on the economy and the ways in which the reduction of tax evasion generates a considerable increase of the macroeconomic indicators that characterize the economy of a country.","author":[{"dropping-particle":"","family":"Androniceanu","given":"Armenia","non-dropping-particle":"","parse-names":false,"suffix":""},{"dropping-particle":"","family":"Gherghina","given":"Rodica","non-dropping-particle":"","parse-names":false,"suffix":""},{"dropping-particle":"","family":"Ciobănașu","given":"Marilena","non-dropping-particle":"","parse-names":false,"suffix":""}],"container-title":"Administratie si Management Public","id":"ITEM-6","issue":"32","issued":{"date-parts":[["2019"]]},"title":"The interdependence between fiscal public policies and tax evasion","type":"article-journal","volume":"2019"},"uris":["http://www.mendeley.com/documents/?uuid=89a349bd-827c-3e08-abb8-3eef6383393b"]},{"id":"ITEM-7","itemData":{"DOI":"10.1080/02508281.2020.1826225","ISSN":"02508281","abstract":"The hotel industry is one of the most negatively impacted economic sectors by the COVID-19. Its recovery relies on the capacity to control the pandemic and to the macroeconomic efficiency of the policies undertaken by public institutions to enhance general economic recovery. In this context, it is essential for hotel industry stakeholders to assess the economic impact directly attributable to the COVID-19 pandemic’s evolution, along with the effect that economic policies may have in supporting the industry. Accordingly, this paper estimates how the 20 world-largest and publicly listed hotel companies’ stock market returns reacted to the pandemic evolution and to the different public sector economic measures across the different countries they operate using regression techniques. Specifically, the industry response is examined during the period ranging from February 24 to April 24, 2020. The main results show, on the one hand, that the hotel industry has been negatively affected by the COVID-19 evolution. On the other hand, hotel stock prices are positively correlated to economic policies with direct impact in public budget, whereas measures with non-direct impact, such as liquidity provisions or financial assistance, seem not to support the industry.","author":[{"dropping-particle":"","family":"Anguera-Torrell","given":"Oriol","non-dropping-particle":"","parse-names":false,"suffix":""},{"dropping-particle":"","family":"Aznar-Alarcón","given":"Juan Pedro","non-dropping-particle":"","parse-names":false,"suffix":""},{"dropping-particle":"","family":"Vives-Perez","given":"Jordi","non-dropping-particle":"","parse-names":false,"suffix":""}],"container-title":"Tourism Recreation Research","id":"ITEM-7","issued":{"date-parts":[["2020"]]},"title":"COVID-19: hotel industry response to the pandemic evolution and to the public sector economic measures","type":"article-journal"},"uris":["http://www.mendeley.com/documents/?uuid=62cb21cc-0686-3ab2-b247-e7ad6aee397e"]},{"id":"ITEM-8","itemData":{"DOI":"10.1093/RAPSTU/RAZ001","ISSN":"20459939","abstract":"We model, in a market-based democracy, different constituencies that disagree regarding the likelihood of economic disasters. Costly public policy initiatives to reduce or eliminate disasters are assessed relative to private alternatives presented by financial markets. Demand for such public policies falls as much as 40% with disagreement, and crowding out by private insurance drives most of the reduction. As support for disaster-reducing policy jumps in periods of disasters, costly policies may be adopted only after disasters occur. In some scenarios constituencies may even demand policies oriented at increasing disaster risk if these policies introduce speculative opportunities.","author":[{"dropping-particle":"","family":"Baker","given":"Steven D.","non-dropping-particle":"","parse-names":false,"suffix":""},{"dropping-particle":"","family":"Hollifield","given":"Burton","non-dropping-particle":"","parse-names":false,"suffix":""},{"dropping-particle":"","family":"Osambela","given":"Emilio","non-dropping-particle":"","parse-names":false,"suffix":""}],"container-title":"Review of Asset Pricing Studies","id":"ITEM-8","issue":"1","issued":{"date-parts":[["2020"]]},"title":"Preventing controversial catastrophes","type":"article-journal","volume":"10"},"uris":["http://www.mendeley.com/documents/?uuid=f9cf26b4-ffdf-3e44-b923-2658699784f6"]},{"id":"ITEM-9","itemData":{"DOI":"10.1093/jnlecg/lbh045","ISSN":"1468-2702","abstract":"Research on the spatial aspects of economic activity has flourished over the past decade due to the emergence of new theory, new data, and an intense interest on the part of policymakers, especially in Europe but increasingly in North America and elsewhere as well. However, these efforts--collectively known as the \"new economic geography\"--have devoted little attention to the policy implications of the new theory. Economic Geography and Public Policy fills the gap by illustrating many new policy insights economic geography models can offer to the realm of theoretical policy analysis. Focusing primarily on trade policy, tax policy, and regional policy, Richard Baldwin and coauthors show how these models can be used to make sense of real-world situations. The book not only provides much fresh analysis but also synthesizes insights from the existing literature. The authors begin by presenting and analyzing the widest range of new economic geography models to date. From there they proceed to examine previously unaddressed welfare and policy issues including, in separate sections, trade policy (unilateral, reciprocal, and preferential), tax policy (agglomeration with taxes and public goods, tax competition and agglomeration), and regional policy (infrastructure policies and the political economy of regional subsidies). A well-organized, engaging narrative that progresses smoothly from fundamentals to more complex material, Economic Geography and Public Policy is essential reading for graduate students, researchers, and policymakers seeking new approaches to spatial policy issues.","author":[{"dropping-particle":"","family":"Baldwin","given":"Richard","non-dropping-particle":"","parse-names":false,"suffix":""},{"dropping-particle":"","family":"Forslid","given":"Rikard","non-dropping-particle":"","parse-names":false,"suffix":""},{"dropping-particle":"","family":"Martin","given":"Philippe","non-dropping-particle":"","parse-names":false,"suffix":""},{"dropping-particle":"","family":"Ottaviano","given":"Gianmarco","non-dropping-particle":"","parse-names":false,"suffix":""},{"dropping-particle":"","family":"Robert-Nicoud","given":"Frederic","non-dropping-particle":"","parse-names":false,"suffix":""}],"container-title":"Economic Geography and Public Policy","id":"ITEM-9","issued":{"date-parts":[["2011"]]},"title":"Economic geography and public policy","type":"book"},"uris":["http://www.mendeley.com/documents/?uuid=a9525dbd-2825-37a6-a63c-dd2f1379435b"]},{"id":"ITEM-10","itemData":{"DOI":"10.1016/j.jpubeco.2018.08.006","ISSN":"00472727","abstract":"This study presents a two-period overlapping-generations model with endogenous growth. In each period, the government representing young and old generations provides a public good financed by labor income taxation and public debt issuance, and the government's policies are determined by probabilistic voting. Increased political power of the old lowers economic growth. A debt-ceiling rule is considered to resolve the negative growth effect, but it creates a trade-off between generations in terms of welfare.","author":[{"dropping-particle":"","family":"Arai","given":"Real","non-dropping-particle":"","parse-names":false,"suffix":""},{"dropping-particle":"","family":"Naito","given":"Katsuyuki","non-dropping-particle":"","parse-names":false,"suffix":""},{"dropping-particle":"","family":"Ono","given":"Tetsuo","non-dropping-particle":"","parse-names":false,"suffix":""}],"container-title":"Journal of Public Economics","id":"ITEM-10","issued":{"date-parts":[["2018"]]},"title":"Intergenerational policies, public debt, and economic growth: A politico-economic analysis","type":"article-journal","volume":"166"},"uris":["http://www.mendeley.com/documents/?uuid=cbdfa9ea-b19f-39f4-bbee-4815ce1ce13f"]},{"id":"ITEM-11","itemData":{"DOI":"10.1080/13504851.2018.1537471","ISSN":"14664291","abstract":"The current study exhibits a new implication of the Yule–Simpson paradox with public policy repercussions. We construct Laffer curves of local property tax collection based on aggregated data and group division to residential land uses in Jerusalem. Results indicate that based on aggregated (dis-aggregated) data, the location of owner-occupiers and renters who pay a relatively high rate tariff will be on the upward-sloping (downward-sloping) part of the Laffer curve. Consequently, statistical test outcomes support Laffer’s controversial claim that for the few upper-brackets taxpayers, an efficient collection is associated with tax reduction rather than tax increase.","author":[{"dropping-particle":"","family":"Arbel","given":"Yuval","non-dropping-particle":"","parse-names":false,"suffix":""},{"dropping-particle":"","family":"Fialkoff","given":"Chaim","non-dropping-particle":"","parse-names":false,"suffix":""},{"dropping-particle":"","family":"Kerner","given":"Amichai","non-dropping-particle":"","parse-names":false,"suffix":""}],"container-title":"Applied Economics Letters","id":"ITEM-11","issue":"13","issued":{"date-parts":[["2019"]]},"title":"Public policy for reducing tax evasion: implications of the Yule–Simpson paradox","type":"article-journal","volume":"26"},"uris":["http://www.mendeley.com/documents/?uuid=10808812-1505-3670-bfed-e87053cd9b22"]},{"id":"ITEM-12","itemData":{"DOI":"10.1016/j.spl.2018.02.022","ISSN":"01677152","abstract":"Big data are often presented as a strategic opportunity for the design of new public policies, improving the quality and effectiveness of public services and using resources more efficiently. The paper discusses such opportunities and identifies a few open questions.","author":[{"dropping-particle":"","family":"Azzone","given":"Giovanni","non-dropping-particle":"","parse-names":false,"suffix":""}],"container-title":"Statistics and Probability Letters","id":"ITEM-12","issued":{"date-parts":[["2018"]]},"title":"Big data and public policies: Opportunities and challenges","type":"article-journal","volume":"136"},"uris":["http://www.mendeley.com/documents/?uuid=2f0e2066-d5a6-3686-a4fd-b8cbc9f1696f"]},{"id":"ITEM-13","itemData":{"DOI":"10.1177/1065912913485441","ISSN":"10659129","abstract":"Influential economic models predict that as inequality increases, the public will demand greater redistribution. However, there is limited research into the determinants of support for redistributive tax increases because such proposals have been so rare in America in recent decades. We use Washington State's Proposition 1098 to examine how economic self-interest, concerns about inequality, and partisanship influence support for redistributive taxation. The results show that all of these factors influenced support, with strong support among the lower income, indicating that when the distributional implications of policies are clear, citizens can translate their self-interest and broad attitudes into congruent redistributive preferences. © 2013 University of Utah.","author":[{"dropping-particle":"","family":"Franko","given":"William","non-dropping-particle":"","parse-names":false,"suffix":""},{"dropping-particle":"","family":"Tolbert","given":"Caroline J.","non-dropping-particle":"","parse-names":false,"suffix":""},{"dropping-particle":"","family":"Witko","given":"Christopher","non-dropping-particle":"","parse-names":false,"suffix":""}],"container-title":"Political Research Quarterly","id":"ITEM-13","issue":"4","issued":{"date-parts":[["2013"]]},"title":"Inequality, Self-Interest, and Public Support for \"Robin Hood\" Tax Policies","type":"article-journal","volume":"66"},"uris":["http://www.mendeley.com/documents/?uuid=c1a29a87-fb36-3f54-865d-f383217c2802"]},{"id":"ITEM-14","itemData":{"abstract":"What Is Gross Domestic Product (GDP)? Gross domestic product (GDP) is the total monetary or market value of all the finished goods and services produced within a country's borders in a specific time period. As a broad measure of overall domestic production, it functions as a comprehensive scorecard of a given country’s economic health.","author":[{"dropping-particle":"","family":"Fernando","given":"Jason","non-dropping-particle":"","parse-names":false,"suffix":""}],"container-title":"Investopedia","id":"ITEM-14","issued":{"date-parts":[["2022"]]},"title":"Gross Domestic Product (GDP) Definition","type":"article"},"uris":["http://www.mendeley.com/documents/?uuid=d5c0e96f-59a1-368f-b9de-534014f9007e"]}],"mendeley":{"formattedCitation":"(Aitken, 2019; AL-UBAYDLI et al., 2021; Altman, 2012; Amanor-Boadu et al., 2014; Andriansyah et al., 2019; Androniceanu et al., 2019; Anguera-Torrell et al., 2020; Arai et al., 2018; Arbel et al., 2019; Azzone, 2018; Baker et al., 2020; Baldwin et al., 2011; Fernando, 2022; Franko et al., 2013)","plainTextFormattedCitation":"(Aitken, 2019; AL-UBAYDLI et al., 2021; Altman, 2012; Amanor-Boadu et al., 2014; Andriansyah et al., 2019; Androniceanu et al., 2019; Anguera-Torrell et al., 2020; Arai et al., 2018; Arbel et al., 2019; Azzone, 2018; Baker et al., 2020; Baldwin et al., 2011; Fernando, 2022; Franko et al., 2013)"},"properties":{"noteIndex":0},"schema":"https://github.com/citation-style-language/schema/raw/master/csl-citation.json"}</w:instrText>
      </w:r>
      <w:r w:rsidR="00F67AB7">
        <w:rPr>
          <w:rFonts w:eastAsiaTheme="minorEastAsia"/>
        </w:rPr>
        <w:fldChar w:fldCharType="separate"/>
      </w:r>
      <w:r w:rsidR="00F67AB7" w:rsidRPr="00F67AB7">
        <w:rPr>
          <w:rFonts w:eastAsiaTheme="minorEastAsia"/>
          <w:noProof/>
        </w:rPr>
        <w:t>(Aitken, 2019; AL-UBAYDLI et al., 2021; Altman, 2012; Amanor-Boadu et al., 2014; Andriansyah et al., 2019; Androniceanu et al., 2019; Anguera-Torrell et al., 2020; Arai et al., 2018; Arbel et al., 2019; Azzone, 2018; Baker et al., 2020; Baldwin et al., 2011; Fernando, 2022; Franko et al., 2013)</w:t>
      </w:r>
      <w:r w:rsidR="00F67AB7">
        <w:rPr>
          <w:rFonts w:eastAsiaTheme="minorEastAsia"/>
        </w:rPr>
        <w:fldChar w:fldCharType="end"/>
      </w:r>
      <w:r>
        <w:rPr>
          <w:rFonts w:eastAsiaTheme="minorEastAsia"/>
        </w:rPr>
        <w:t>.</w:t>
      </w:r>
    </w:p>
    <w:p w14:paraId="235E8E1B" w14:textId="79168A9A" w:rsidR="00984C8D" w:rsidRDefault="001A0248" w:rsidP="001A0248">
      <w:pPr>
        <w:pStyle w:val="SSRNheading"/>
        <w:numPr>
          <w:ilvl w:val="0"/>
          <w:numId w:val="3"/>
        </w:numPr>
      </w:pPr>
      <w:r>
        <w:t>Results</w:t>
      </w:r>
    </w:p>
    <w:p w14:paraId="4A03316F" w14:textId="24FC042E" w:rsidR="001A0248" w:rsidRDefault="00984C8D" w:rsidP="002164D5">
      <w:pPr>
        <w:pStyle w:val="SSRNnormal"/>
        <w:rPr>
          <w:rFonts w:eastAsia="Times New Roman" w:cs="Times New Roman"/>
        </w:rPr>
      </w:pPr>
      <w:r w:rsidRPr="00DF6E13">
        <w:t xml:space="preserve">Using </w:t>
      </w:r>
      <w:r w:rsidR="008F2E95">
        <w:t>Eq.</w:t>
      </w:r>
      <w:r w:rsidRPr="00DF6E13">
        <w:t xml:space="preserve"> (</w:t>
      </w:r>
      <w:r w:rsidR="001A0248">
        <w:t>6</w:t>
      </w:r>
      <w:r w:rsidRPr="00DF6E13">
        <w:t>) to (</w:t>
      </w:r>
      <w:r w:rsidR="001A0248">
        <w:t>15</w:t>
      </w:r>
      <w:r w:rsidRPr="00DF6E13">
        <w:t xml:space="preserve">) it is plausible to proceed to the mixed savings. </w:t>
      </w:r>
      <w:r w:rsidR="001A0248" w:rsidRPr="00837AF8">
        <w:rPr>
          <w:rFonts w:eastAsia="Times New Roman" w:cs="Times New Roman"/>
        </w:rPr>
        <w:t xml:space="preserve">Using </w:t>
      </w:r>
      <w:r w:rsidR="001A0248">
        <w:rPr>
          <w:rFonts w:eastAsia="Times New Roman" w:cs="Times New Roman"/>
        </w:rPr>
        <w:t>Eq.</w:t>
      </w:r>
      <w:r w:rsidR="001A0248" w:rsidRPr="00837AF8">
        <w:rPr>
          <w:rFonts w:eastAsia="Times New Roman" w:cs="Times New Roman"/>
        </w:rPr>
        <w:t xml:space="preserve"> (1) to (1</w:t>
      </w:r>
      <w:r w:rsidR="002164D5">
        <w:rPr>
          <w:rFonts w:eastAsia="Times New Roman" w:cs="Times New Roman"/>
        </w:rPr>
        <w:t>5</w:t>
      </w:r>
      <w:r w:rsidR="001A0248" w:rsidRPr="00837AF8">
        <w:rPr>
          <w:rFonts w:eastAsia="Times New Roman" w:cs="Times New Roman"/>
        </w:rPr>
        <w:t xml:space="preserve">) it is plausible to define the behavior of the utility of the cycle of money. Moreover, including the mixed savings </w:t>
      </w:r>
      <m:oMath>
        <m:sSub>
          <m:sSubPr>
            <m:ctrlPr>
              <w:rPr>
                <w:rFonts w:ascii="Cambria Math" w:eastAsia="Times New Roman" w:hAnsi="Cambria Math" w:cs="Times New Roman"/>
              </w:rPr>
            </m:ctrlPr>
          </m:sSubPr>
          <m:e>
            <m:r>
              <w:rPr>
                <w:rFonts w:ascii="Cambria Math" w:eastAsia="Times New Roman" w:hAnsi="Cambria Math" w:cs="Times New Roman"/>
              </w:rPr>
              <m:t>a</m:t>
            </m:r>
          </m:e>
          <m:sub>
            <m:r>
              <w:rPr>
                <w:rFonts w:ascii="Cambria Math" w:eastAsia="Times New Roman" w:hAnsi="Cambria Math" w:cs="Times New Roman"/>
              </w:rPr>
              <m:t>mi</m:t>
            </m:r>
          </m:sub>
        </m:sSub>
      </m:oMath>
      <w:r w:rsidR="001A0248" w:rsidRPr="00837AF8">
        <w:rPr>
          <w:rFonts w:eastAsia="Times New Roman" w:cs="Times New Roman"/>
        </w:rPr>
        <w:t>:</w:t>
      </w:r>
    </w:p>
    <w:p w14:paraId="778C41AB" w14:textId="5ED38E3D" w:rsidR="001A0248" w:rsidRPr="00837AF8" w:rsidRDefault="001A0248" w:rsidP="001A0248">
      <w:pPr>
        <w:spacing w:after="120" w:line="360" w:lineRule="auto"/>
        <w:rPr>
          <w:rFonts w:eastAsia="Times New Roman" w:cs="Times New Roman"/>
        </w:rPr>
      </w:pPr>
      <m:oMath>
        <m:sSub>
          <m:sSubPr>
            <m:ctrlPr>
              <w:rPr>
                <w:rFonts w:ascii="Cambria Math" w:eastAsia="Times New Roman" w:hAnsi="Cambria Math" w:cs="Times New Roman"/>
              </w:rPr>
            </m:ctrlPr>
          </m:sSubPr>
          <m:e>
            <m:r>
              <w:rPr>
                <w:rFonts w:ascii="Cambria Math" w:eastAsia="Times New Roman" w:hAnsi="Cambria Math" w:cs="Times New Roman"/>
              </w:rPr>
              <m:t>α</m:t>
            </m:r>
          </m:e>
          <m:sub>
            <m:r>
              <w:rPr>
                <w:rFonts w:ascii="Cambria Math" w:eastAsia="Times New Roman" w:hAnsi="Cambria Math" w:cs="Times New Roman"/>
              </w:rPr>
              <m:t>r</m:t>
            </m:r>
          </m:sub>
        </m:sSub>
        <m:r>
          <m:rPr>
            <m:sty m:val="p"/>
          </m:rPr>
          <w:rPr>
            <w:rFonts w:ascii="Cambria Math" w:eastAsia="Times New Roman" w:hAnsi="Cambria Math" w:cs="Times New Roman"/>
          </w:rPr>
          <m:t>=</m:t>
        </m:r>
        <m:sSub>
          <m:sSubPr>
            <m:ctrlPr>
              <w:rPr>
                <w:rFonts w:ascii="Cambria Math" w:eastAsia="Times New Roman" w:hAnsi="Cambria Math" w:cs="Times New Roman"/>
              </w:rPr>
            </m:ctrlPr>
          </m:sSubPr>
          <m:e>
            <m:r>
              <w:rPr>
                <w:rFonts w:ascii="Cambria Math" w:eastAsia="Times New Roman" w:hAnsi="Cambria Math" w:cs="Times New Roman"/>
              </w:rPr>
              <m:t>a</m:t>
            </m:r>
          </m:e>
          <m:sub>
            <m:r>
              <w:rPr>
                <w:rFonts w:ascii="Cambria Math" w:eastAsia="Times New Roman" w:hAnsi="Cambria Math" w:cs="Times New Roman"/>
              </w:rPr>
              <m:t>mi</m:t>
            </m:r>
          </m:sub>
        </m:sSub>
        <m:r>
          <m:rPr>
            <m:sty m:val="p"/>
          </m:rPr>
          <w:rPr>
            <w:rFonts w:ascii="Cambria Math" w:eastAsia="Times New Roman" w:hAnsi="Cambria Math" w:cs="Times New Roman"/>
          </w:rPr>
          <m:t>+</m:t>
        </m:r>
        <m:nary>
          <m:naryPr>
            <m:chr m:val="∑"/>
            <m:limLoc m:val="subSup"/>
            <m:ctrlPr>
              <w:rPr>
                <w:rFonts w:ascii="Cambria Math" w:eastAsia="Times New Roman" w:hAnsi="Cambria Math" w:cs="Times New Roman"/>
              </w:rPr>
            </m:ctrlPr>
          </m:naryPr>
          <m:sub>
            <m:r>
              <w:rPr>
                <w:rFonts w:ascii="Cambria Math" w:eastAsia="Times New Roman" w:hAnsi="Cambria Math" w:cs="Times New Roman"/>
              </w:rPr>
              <m:t>j</m:t>
            </m:r>
            <m:r>
              <m:rPr>
                <m:sty m:val="p"/>
              </m:rPr>
              <w:rPr>
                <w:rFonts w:ascii="Cambria Math" w:eastAsia="Times New Roman" w:hAnsi="Cambria Math" w:cs="Times New Roman"/>
              </w:rPr>
              <m:t>=1</m:t>
            </m:r>
          </m:sub>
          <m:sup>
            <m:r>
              <w:rPr>
                <w:rFonts w:ascii="Cambria Math" w:eastAsia="Times New Roman" w:hAnsi="Cambria Math" w:cs="Times New Roman"/>
              </w:rPr>
              <m:t>n</m:t>
            </m:r>
          </m:sup>
          <m:e>
            <m:sSub>
              <m:sSubPr>
                <m:ctrlPr>
                  <w:rPr>
                    <w:rFonts w:ascii="Cambria Math" w:eastAsia="Times New Roman" w:hAnsi="Cambria Math" w:cs="Times New Roman"/>
                  </w:rPr>
                </m:ctrlPr>
              </m:sSubPr>
              <m:e>
                <m:r>
                  <m:rPr>
                    <m:sty m:val="p"/>
                  </m:rPr>
                  <w:rPr>
                    <w:rFonts w:ascii="Cambria Math" w:eastAsia="Times New Roman" w:hAnsi="Cambria Math" w:cs="Times New Roman"/>
                  </w:rPr>
                  <m:t>(</m:t>
                </m:r>
                <m:sSub>
                  <m:sSubPr>
                    <m:ctrlPr>
                      <w:rPr>
                        <w:rFonts w:ascii="Cambria Math" w:eastAsia="Times New Roman" w:hAnsi="Cambria Math" w:cs="Times New Roman"/>
                      </w:rPr>
                    </m:ctrlPr>
                  </m:sSubPr>
                  <m:e>
                    <m:r>
                      <w:rPr>
                        <w:rFonts w:ascii="Cambria Math" w:eastAsia="Times New Roman" w:hAnsi="Cambria Math" w:cs="Times New Roman"/>
                      </w:rPr>
                      <m:t>α</m:t>
                    </m:r>
                  </m:e>
                  <m:sub>
                    <m:r>
                      <w:rPr>
                        <w:rFonts w:ascii="Cambria Math" w:eastAsia="Times New Roman" w:hAnsi="Cambria Math" w:cs="Times New Roman"/>
                      </w:rPr>
                      <m:t>r</m:t>
                    </m:r>
                  </m:sub>
                </m:sSub>
                <m:r>
                  <m:rPr>
                    <m:sty m:val="p"/>
                  </m:rPr>
                  <w:rPr>
                    <w:rFonts w:ascii="Cambria Math" w:eastAsia="Times New Roman" w:hAnsi="Cambria Math" w:cs="Times New Roman"/>
                  </w:rPr>
                  <m:t>)</m:t>
                </m:r>
              </m:e>
              <m:sub>
                <m:r>
                  <w:rPr>
                    <w:rFonts w:ascii="Cambria Math" w:eastAsia="Times New Roman" w:hAnsi="Cambria Math" w:cs="Times New Roman"/>
                  </w:rPr>
                  <m:t>j</m:t>
                </m:r>
              </m:sub>
            </m:sSub>
          </m:e>
        </m:nary>
      </m:oMath>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t>(1</w:t>
      </w:r>
      <w:r>
        <w:rPr>
          <w:rFonts w:eastAsia="Times New Roman" w:cs="Times New Roman"/>
        </w:rPr>
        <w:t>6</w:t>
      </w:r>
      <w:r w:rsidRPr="00837AF8">
        <w:rPr>
          <w:rFonts w:eastAsia="Times New Roman" w:cs="Times New Roman"/>
        </w:rPr>
        <w:t>)</w:t>
      </w:r>
    </w:p>
    <w:p w14:paraId="5AC02EDC" w14:textId="3CFBC6FA" w:rsidR="001A0248" w:rsidRPr="00837AF8" w:rsidRDefault="001A0248" w:rsidP="001A0248">
      <w:pPr>
        <w:spacing w:after="120" w:line="360" w:lineRule="auto"/>
        <w:rPr>
          <w:rFonts w:eastAsia="Times New Roman" w:cs="Times New Roman"/>
        </w:rPr>
      </w:pPr>
      <m:oMath>
        <m:sSub>
          <m:sSubPr>
            <m:ctrlPr>
              <w:rPr>
                <w:rFonts w:ascii="Cambria Math" w:eastAsia="Times New Roman" w:hAnsi="Cambria Math" w:cs="Times New Roman"/>
              </w:rPr>
            </m:ctrlPr>
          </m:sSubPr>
          <m:e>
            <m:r>
              <w:rPr>
                <w:rFonts w:ascii="Cambria Math" w:eastAsia="Times New Roman" w:hAnsi="Cambria Math" w:cs="Times New Roman"/>
              </w:rPr>
              <m:t>α</m:t>
            </m:r>
          </m:e>
          <m:sub>
            <m:r>
              <w:rPr>
                <w:rFonts w:ascii="Cambria Math" w:eastAsia="Times New Roman" w:hAnsi="Cambria Math" w:cs="Times New Roman"/>
              </w:rPr>
              <m:t>s</m:t>
            </m:r>
          </m:sub>
        </m:sSub>
      </m:oMath>
      <w:r w:rsidRPr="00837AF8">
        <w:rPr>
          <w:rFonts w:eastAsia="Times New Roman" w:cs="Times New Roman"/>
        </w:rPr>
        <w:t xml:space="preserve"> </w:t>
      </w:r>
      <m:oMath>
        <m:r>
          <m:rPr>
            <m:sty m:val="p"/>
          </m:rPr>
          <w:rPr>
            <w:rFonts w:ascii="Cambria Math" w:eastAsia="Times New Roman" w:hAnsi="Cambria Math" w:cs="Times New Roman"/>
          </w:rPr>
          <m:t>=</m:t>
        </m:r>
      </m:oMath>
      <w:r w:rsidRPr="00837AF8">
        <w:rPr>
          <w:rFonts w:eastAsia="Times New Roman" w:cs="Times New Roman"/>
        </w:rPr>
        <w:t xml:space="preserve"> </w:t>
      </w:r>
      <m:oMath>
        <m:nary>
          <m:naryPr>
            <m:chr m:val="∑"/>
            <m:limLoc m:val="subSup"/>
            <m:ctrlPr>
              <w:rPr>
                <w:rFonts w:ascii="Cambria Math" w:eastAsia="Times New Roman" w:hAnsi="Cambria Math" w:cs="Times New Roman"/>
              </w:rPr>
            </m:ctrlPr>
          </m:naryPr>
          <m:sub>
            <m:r>
              <w:rPr>
                <w:rFonts w:ascii="Cambria Math" w:eastAsia="Times New Roman" w:hAnsi="Cambria Math" w:cs="Times New Roman"/>
              </w:rPr>
              <m:t>k</m:t>
            </m:r>
            <m:r>
              <m:rPr>
                <m:sty m:val="p"/>
              </m:rPr>
              <w:rPr>
                <w:rFonts w:ascii="Cambria Math" w:eastAsia="Times New Roman" w:hAnsi="Cambria Math" w:cs="Times New Roman"/>
              </w:rPr>
              <m:t>=1</m:t>
            </m:r>
          </m:sub>
          <m:sup>
            <m:r>
              <w:rPr>
                <w:rFonts w:ascii="Cambria Math" w:eastAsia="Times New Roman" w:hAnsi="Cambria Math" w:cs="Times New Roman"/>
              </w:rPr>
              <m:t>m</m:t>
            </m:r>
          </m:sup>
          <m:e>
            <m:sSub>
              <m:sSubPr>
                <m:ctrlPr>
                  <w:rPr>
                    <w:rFonts w:ascii="Cambria Math" w:eastAsia="Times New Roman" w:hAnsi="Cambria Math" w:cs="Times New Roman"/>
                  </w:rPr>
                </m:ctrlPr>
              </m:sSubPr>
              <m:e>
                <m:r>
                  <m:rPr>
                    <m:sty m:val="p"/>
                  </m:rPr>
                  <w:rPr>
                    <w:rFonts w:ascii="Cambria Math" w:eastAsia="Times New Roman" w:hAnsi="Cambria Math" w:cs="Times New Roman"/>
                  </w:rPr>
                  <m:t>(</m:t>
                </m:r>
                <m:sSub>
                  <m:sSubPr>
                    <m:ctrlPr>
                      <w:rPr>
                        <w:rFonts w:ascii="Cambria Math" w:eastAsia="Times New Roman" w:hAnsi="Cambria Math" w:cs="Times New Roman"/>
                      </w:rPr>
                    </m:ctrlPr>
                  </m:sSubPr>
                  <m:e>
                    <m:r>
                      <w:rPr>
                        <w:rFonts w:ascii="Cambria Math" w:eastAsia="Times New Roman" w:hAnsi="Cambria Math" w:cs="Times New Roman"/>
                      </w:rPr>
                      <m:t>α</m:t>
                    </m:r>
                  </m:e>
                  <m:sub>
                    <m:r>
                      <w:rPr>
                        <w:rFonts w:ascii="Cambria Math" w:eastAsia="Times New Roman" w:hAnsi="Cambria Math" w:cs="Times New Roman"/>
                      </w:rPr>
                      <m:t>s</m:t>
                    </m:r>
                  </m:sub>
                </m:sSub>
                <m:r>
                  <m:rPr>
                    <m:sty m:val="p"/>
                  </m:rPr>
                  <w:rPr>
                    <w:rFonts w:ascii="Cambria Math" w:eastAsia="Times New Roman" w:hAnsi="Cambria Math" w:cs="Times New Roman"/>
                  </w:rPr>
                  <m:t>)</m:t>
                </m:r>
              </m:e>
              <m:sub>
                <m:r>
                  <w:rPr>
                    <w:rFonts w:ascii="Cambria Math" w:eastAsia="Times New Roman" w:hAnsi="Cambria Math" w:cs="Times New Roman"/>
                  </w:rPr>
                  <m:t>k</m:t>
                </m:r>
              </m:sub>
            </m:sSub>
          </m:e>
        </m:nary>
      </m:oMath>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t>(1</w:t>
      </w:r>
      <w:r>
        <w:rPr>
          <w:rFonts w:eastAsia="Times New Roman" w:cs="Times New Roman"/>
        </w:rPr>
        <w:t>7</w:t>
      </w:r>
      <w:r w:rsidRPr="00837AF8">
        <w:rPr>
          <w:rFonts w:eastAsia="Times New Roman" w:cs="Times New Roman"/>
        </w:rPr>
        <w:t>)</w:t>
      </w:r>
    </w:p>
    <w:bookmarkStart w:id="0" w:name="_Hlk131075253"/>
    <w:p w14:paraId="19D2A3F0" w14:textId="6F602488" w:rsidR="001A0248" w:rsidRPr="00837AF8" w:rsidRDefault="001A0248" w:rsidP="001A0248">
      <w:pPr>
        <w:spacing w:after="120" w:line="360" w:lineRule="auto"/>
        <w:rPr>
          <w:rFonts w:eastAsia="Times New Roman" w:cs="Times New Roman"/>
        </w:rPr>
      </w:pPr>
      <m:oMath>
        <m:sSub>
          <m:sSubPr>
            <m:ctrlPr>
              <w:rPr>
                <w:rFonts w:ascii="Cambria Math" w:eastAsia="Times New Roman" w:hAnsi="Cambria Math" w:cs="Times New Roman"/>
              </w:rPr>
            </m:ctrlPr>
          </m:sSubPr>
          <m:e>
            <m:r>
              <w:rPr>
                <w:rFonts w:ascii="Cambria Math" w:eastAsia="Times New Roman" w:hAnsi="Cambria Math" w:cs="Times New Roman"/>
              </w:rPr>
              <m:t>α</m:t>
            </m:r>
          </m:e>
          <m:sub>
            <m:r>
              <w:rPr>
                <w:rFonts w:ascii="Cambria Math" w:eastAsia="Times New Roman" w:hAnsi="Cambria Math" w:cs="Times New Roman"/>
              </w:rPr>
              <m:t>p</m:t>
            </m:r>
          </m:sub>
        </m:sSub>
      </m:oMath>
      <w:r w:rsidRPr="00837AF8">
        <w:rPr>
          <w:rFonts w:eastAsia="Times New Roman" w:cs="Times New Roman"/>
        </w:rPr>
        <w:t xml:space="preserve">= </w:t>
      </w:r>
      <m:oMath>
        <m:nary>
          <m:naryPr>
            <m:chr m:val="∑"/>
            <m:limLoc m:val="subSup"/>
            <m:ctrlPr>
              <w:rPr>
                <w:rFonts w:ascii="Cambria Math" w:eastAsia="Times New Roman" w:hAnsi="Cambria Math" w:cs="Times New Roman"/>
              </w:rPr>
            </m:ctrlPr>
          </m:naryPr>
          <m:sub>
            <m:r>
              <w:rPr>
                <w:rFonts w:ascii="Cambria Math" w:eastAsia="Times New Roman" w:hAnsi="Cambria Math" w:cs="Times New Roman"/>
              </w:rPr>
              <m:t>j</m:t>
            </m:r>
            <m:r>
              <m:rPr>
                <m:sty m:val="p"/>
              </m:rPr>
              <w:rPr>
                <w:rFonts w:ascii="Cambria Math" w:eastAsia="Times New Roman" w:hAnsi="Cambria Math" w:cs="Times New Roman"/>
              </w:rPr>
              <m:t>=1</m:t>
            </m:r>
          </m:sub>
          <m:sup>
            <m:r>
              <w:rPr>
                <w:rFonts w:ascii="Cambria Math" w:eastAsia="Times New Roman" w:hAnsi="Cambria Math" w:cs="Times New Roman"/>
              </w:rPr>
              <m:t>n</m:t>
            </m:r>
          </m:sup>
          <m:e>
            <m:sSub>
              <m:sSubPr>
                <m:ctrlPr>
                  <w:rPr>
                    <w:rFonts w:ascii="Cambria Math" w:eastAsia="Times New Roman" w:hAnsi="Cambria Math" w:cs="Times New Roman"/>
                  </w:rPr>
                </m:ctrlPr>
              </m:sSubPr>
              <m:e>
                <m:r>
                  <m:rPr>
                    <m:sty m:val="p"/>
                  </m:rPr>
                  <w:rPr>
                    <w:rFonts w:ascii="Cambria Math" w:eastAsia="Times New Roman" w:hAnsi="Cambria Math" w:cs="Times New Roman"/>
                  </w:rPr>
                  <m:t>(</m:t>
                </m:r>
                <m:sSub>
                  <m:sSubPr>
                    <m:ctrlPr>
                      <w:rPr>
                        <w:rFonts w:ascii="Cambria Math" w:eastAsia="Times New Roman" w:hAnsi="Cambria Math" w:cs="Times New Roman"/>
                      </w:rPr>
                    </m:ctrlPr>
                  </m:sSubPr>
                  <m:e>
                    <m:r>
                      <w:rPr>
                        <w:rFonts w:ascii="Cambria Math" w:eastAsia="Times New Roman" w:hAnsi="Cambria Math" w:cs="Times New Roman"/>
                      </w:rPr>
                      <m:t>α</m:t>
                    </m:r>
                  </m:e>
                  <m:sub>
                    <m:r>
                      <w:rPr>
                        <w:rFonts w:ascii="Cambria Math" w:eastAsia="Times New Roman" w:hAnsi="Cambria Math" w:cs="Times New Roman"/>
                      </w:rPr>
                      <m:t>p</m:t>
                    </m:r>
                  </m:sub>
                </m:sSub>
                <m:r>
                  <m:rPr>
                    <m:sty m:val="p"/>
                  </m:rPr>
                  <w:rPr>
                    <w:rFonts w:ascii="Cambria Math" w:eastAsia="Times New Roman" w:hAnsi="Cambria Math" w:cs="Times New Roman"/>
                  </w:rPr>
                  <m:t>)</m:t>
                </m:r>
              </m:e>
              <m:sub>
                <m:r>
                  <w:rPr>
                    <w:rFonts w:ascii="Cambria Math" w:eastAsia="Times New Roman" w:hAnsi="Cambria Math" w:cs="Times New Roman"/>
                  </w:rPr>
                  <m:t>j</m:t>
                </m:r>
              </m:sub>
            </m:sSub>
          </m:e>
        </m:nary>
      </m:oMath>
      <w:r w:rsidRPr="00837AF8">
        <w:rPr>
          <w:rFonts w:eastAsia="Times New Roman" w:cs="Times New Roman"/>
        </w:rPr>
        <w:t xml:space="preserve"> = </w:t>
      </w:r>
      <m:oMath>
        <m:sSub>
          <m:sSubPr>
            <m:ctrlPr>
              <w:rPr>
                <w:rFonts w:ascii="Cambria Math" w:eastAsia="Times New Roman" w:hAnsi="Cambria Math" w:cs="Times New Roman"/>
              </w:rPr>
            </m:ctrlPr>
          </m:sSubPr>
          <m:e>
            <m:r>
              <w:rPr>
                <w:rFonts w:ascii="Cambria Math" w:eastAsia="Times New Roman" w:hAnsi="Cambria Math" w:cs="Times New Roman"/>
              </w:rPr>
              <m:t>α</m:t>
            </m:r>
          </m:e>
          <m:sub>
            <m:r>
              <w:rPr>
                <w:rFonts w:ascii="Cambria Math" w:eastAsia="Times New Roman" w:hAnsi="Cambria Math" w:cs="Times New Roman"/>
              </w:rPr>
              <m:t>r</m:t>
            </m:r>
          </m:sub>
        </m:sSub>
        <m:r>
          <m:rPr>
            <m:sty m:val="p"/>
          </m:rPr>
          <w:rPr>
            <w:rFonts w:ascii="Cambria Math" w:eastAsia="Times New Roman" w:hAnsi="Cambria Math" w:cs="Times New Roman"/>
          </w:rPr>
          <m:t>+</m:t>
        </m:r>
      </m:oMath>
      <w:r w:rsidRPr="00837AF8">
        <w:rPr>
          <w:rFonts w:eastAsia="Times New Roman" w:cs="Times New Roman"/>
        </w:rPr>
        <w:t xml:space="preserve"> </w:t>
      </w:r>
      <m:oMath>
        <m:sSub>
          <m:sSubPr>
            <m:ctrlPr>
              <w:rPr>
                <w:rFonts w:ascii="Cambria Math" w:eastAsia="Times New Roman" w:hAnsi="Cambria Math" w:cs="Times New Roman"/>
              </w:rPr>
            </m:ctrlPr>
          </m:sSubPr>
          <m:e>
            <m:r>
              <w:rPr>
                <w:rFonts w:ascii="Cambria Math" w:eastAsia="Times New Roman" w:hAnsi="Cambria Math" w:cs="Times New Roman"/>
              </w:rPr>
              <m:t>α</m:t>
            </m:r>
          </m:e>
          <m:sub>
            <m:r>
              <w:rPr>
                <w:rFonts w:ascii="Cambria Math" w:eastAsia="Times New Roman" w:hAnsi="Cambria Math" w:cs="Times New Roman"/>
              </w:rPr>
              <m:t>n</m:t>
            </m:r>
          </m:sub>
        </m:sSub>
      </m:oMath>
      <w:r w:rsidRPr="00837AF8">
        <w:rPr>
          <w:rFonts w:eastAsia="Times New Roman" w:cs="Times New Roman"/>
        </w:rPr>
        <w:t>*</w:t>
      </w:r>
      <m:oMath>
        <m:sSub>
          <m:sSubPr>
            <m:ctrlPr>
              <w:rPr>
                <w:rFonts w:ascii="Cambria Math" w:eastAsia="Times New Roman" w:hAnsi="Cambria Math" w:cs="Times New Roman"/>
              </w:rPr>
            </m:ctrlPr>
          </m:sSubPr>
          <m:e>
            <m:r>
              <w:rPr>
                <w:rFonts w:ascii="Cambria Math" w:eastAsia="Times New Roman" w:hAnsi="Cambria Math" w:cs="Times New Roman"/>
              </w:rPr>
              <m:t>h</m:t>
            </m:r>
          </m:e>
          <m:sub>
            <m:r>
              <w:rPr>
                <w:rFonts w:ascii="Cambria Math" w:eastAsia="Times New Roman" w:hAnsi="Cambria Math" w:cs="Times New Roman"/>
              </w:rPr>
              <m:t>n</m:t>
            </m:r>
          </m:sub>
        </m:sSub>
      </m:oMath>
      <w:r w:rsidRPr="00837AF8">
        <w:rPr>
          <w:rFonts w:eastAsia="Times New Roman" w:cs="Times New Roman"/>
        </w:rPr>
        <w:t xml:space="preserve"> +</w:t>
      </w:r>
      <m:oMath>
        <m:sSub>
          <m:sSubPr>
            <m:ctrlPr>
              <w:rPr>
                <w:rFonts w:ascii="Cambria Math" w:eastAsia="Times New Roman" w:hAnsi="Cambria Math" w:cs="Times New Roman"/>
              </w:rPr>
            </m:ctrlPr>
          </m:sSubPr>
          <m:e>
            <m:r>
              <w:rPr>
                <w:rFonts w:ascii="Cambria Math" w:eastAsia="Times New Roman" w:hAnsi="Cambria Math" w:cs="Times New Roman"/>
              </w:rPr>
              <m:t>α</m:t>
            </m:r>
          </m:e>
          <m:sub>
            <m:r>
              <w:rPr>
                <w:rFonts w:ascii="Cambria Math" w:eastAsia="Times New Roman" w:hAnsi="Cambria Math" w:cs="Times New Roman"/>
              </w:rPr>
              <m:t>m</m:t>
            </m:r>
          </m:sub>
        </m:sSub>
      </m:oMath>
      <w:r w:rsidRPr="00837AF8">
        <w:rPr>
          <w:rFonts w:eastAsia="Times New Roman" w:cs="Times New Roman"/>
        </w:rPr>
        <w:t>*</w:t>
      </w:r>
      <m:oMath>
        <m:sSub>
          <m:sSubPr>
            <m:ctrlPr>
              <w:rPr>
                <w:rFonts w:ascii="Cambria Math" w:eastAsia="Times New Roman" w:hAnsi="Cambria Math" w:cs="Times New Roman"/>
              </w:rPr>
            </m:ctrlPr>
          </m:sSubPr>
          <m:e>
            <m:r>
              <w:rPr>
                <w:rFonts w:ascii="Cambria Math" w:eastAsia="Times New Roman" w:hAnsi="Cambria Math" w:cs="Times New Roman"/>
              </w:rPr>
              <m:t>h</m:t>
            </m:r>
          </m:e>
          <m:sub>
            <m:r>
              <w:rPr>
                <w:rFonts w:ascii="Cambria Math" w:eastAsia="Times New Roman" w:hAnsi="Cambria Math" w:cs="Times New Roman"/>
              </w:rPr>
              <m:t>m</m:t>
            </m:r>
          </m:sub>
        </m:sSub>
      </m:oMath>
      <w:bookmarkEnd w:id="0"/>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t>(1</w:t>
      </w:r>
      <w:r>
        <w:rPr>
          <w:rFonts w:eastAsia="Times New Roman" w:cs="Times New Roman"/>
        </w:rPr>
        <w:t>8</w:t>
      </w:r>
      <w:r w:rsidRPr="00837AF8">
        <w:rPr>
          <w:rFonts w:eastAsia="Times New Roman" w:cs="Times New Roman"/>
        </w:rPr>
        <w:t>)</w:t>
      </w:r>
    </w:p>
    <w:bookmarkStart w:id="1" w:name="_Hlk131075280"/>
    <w:p w14:paraId="40E7E4E3" w14:textId="0BECED54" w:rsidR="001A0248" w:rsidRPr="00837AF8" w:rsidRDefault="001A0248" w:rsidP="001A0248">
      <w:pPr>
        <w:spacing w:after="120" w:line="360" w:lineRule="auto"/>
        <w:rPr>
          <w:rFonts w:eastAsia="Times New Roman" w:cs="Times New Roman"/>
        </w:rPr>
      </w:pPr>
      <m:oMath>
        <m:sSub>
          <m:sSubPr>
            <m:ctrlPr>
              <w:rPr>
                <w:rFonts w:ascii="Cambria Math" w:eastAsia="Times New Roman" w:hAnsi="Cambria Math" w:cs="Times New Roman"/>
              </w:rPr>
            </m:ctrlPr>
          </m:sSubPr>
          <m:e>
            <m:r>
              <w:rPr>
                <w:rFonts w:ascii="Cambria Math" w:eastAsia="Times New Roman" w:hAnsi="Cambria Math" w:cs="Times New Roman"/>
              </w:rPr>
              <m:t>α</m:t>
            </m:r>
          </m:e>
          <m:sub>
            <m:r>
              <w:rPr>
                <w:rFonts w:ascii="Cambria Math" w:eastAsia="Times New Roman" w:hAnsi="Cambria Math" w:cs="Times New Roman"/>
              </w:rPr>
              <m:t>t</m:t>
            </m:r>
          </m:sub>
        </m:sSub>
        <m:r>
          <m:rPr>
            <m:sty m:val="p"/>
          </m:rPr>
          <w:rPr>
            <w:rFonts w:ascii="Cambria Math" w:eastAsia="Times New Roman" w:hAnsi="Cambria Math" w:cs="Times New Roman"/>
          </w:rPr>
          <m:t>=</m:t>
        </m:r>
        <m:nary>
          <m:naryPr>
            <m:chr m:val="∑"/>
            <m:limLoc m:val="subSup"/>
            <m:ctrlPr>
              <w:rPr>
                <w:rFonts w:ascii="Cambria Math" w:eastAsia="Times New Roman" w:hAnsi="Cambria Math" w:cs="Times New Roman"/>
              </w:rPr>
            </m:ctrlPr>
          </m:naryPr>
          <m:sub>
            <m:r>
              <w:rPr>
                <w:rFonts w:ascii="Cambria Math" w:eastAsia="Times New Roman" w:hAnsi="Cambria Math" w:cs="Times New Roman"/>
              </w:rPr>
              <m:t>v</m:t>
            </m:r>
            <m:r>
              <m:rPr>
                <m:sty m:val="p"/>
              </m:rPr>
              <w:rPr>
                <w:rFonts w:ascii="Cambria Math" w:eastAsia="Times New Roman" w:hAnsi="Cambria Math" w:cs="Times New Roman"/>
              </w:rPr>
              <m:t>=1</m:t>
            </m:r>
          </m:sub>
          <m:sup>
            <m:r>
              <w:rPr>
                <w:rFonts w:ascii="Cambria Math" w:eastAsia="Times New Roman" w:hAnsi="Cambria Math" w:cs="Times New Roman"/>
              </w:rPr>
              <m:t>d</m:t>
            </m:r>
          </m:sup>
          <m:e>
            <m:sSub>
              <m:sSubPr>
                <m:ctrlPr>
                  <w:rPr>
                    <w:rFonts w:ascii="Cambria Math" w:eastAsia="Times New Roman" w:hAnsi="Cambria Math" w:cs="Times New Roman"/>
                  </w:rPr>
                </m:ctrlPr>
              </m:sSubPr>
              <m:e>
                <m:r>
                  <m:rPr>
                    <m:sty m:val="p"/>
                  </m:rPr>
                  <w:rPr>
                    <w:rFonts w:ascii="Cambria Math" w:eastAsia="Times New Roman" w:hAnsi="Cambria Math" w:cs="Times New Roman"/>
                  </w:rPr>
                  <m:t>(</m:t>
                </m:r>
                <m:sSub>
                  <m:sSubPr>
                    <m:ctrlPr>
                      <w:rPr>
                        <w:rFonts w:ascii="Cambria Math" w:eastAsia="Times New Roman" w:hAnsi="Cambria Math" w:cs="Times New Roman"/>
                      </w:rPr>
                    </m:ctrlPr>
                  </m:sSubPr>
                  <m:e>
                    <m:r>
                      <w:rPr>
                        <w:rFonts w:ascii="Cambria Math" w:eastAsia="Times New Roman" w:hAnsi="Cambria Math" w:cs="Times New Roman"/>
                      </w:rPr>
                      <m:t>α</m:t>
                    </m:r>
                  </m:e>
                  <m:sub>
                    <m:r>
                      <w:rPr>
                        <w:rFonts w:ascii="Cambria Math" w:eastAsia="Times New Roman" w:hAnsi="Cambria Math" w:cs="Times New Roman"/>
                      </w:rPr>
                      <m:t>t</m:t>
                    </m:r>
                  </m:sub>
                </m:sSub>
                <m:r>
                  <m:rPr>
                    <m:sty m:val="p"/>
                  </m:rPr>
                  <w:rPr>
                    <w:rFonts w:ascii="Cambria Math" w:eastAsia="Times New Roman" w:hAnsi="Cambria Math" w:cs="Times New Roman"/>
                  </w:rPr>
                  <m:t>)</m:t>
                </m:r>
              </m:e>
              <m:sub>
                <m:r>
                  <w:rPr>
                    <w:rFonts w:ascii="Cambria Math" w:eastAsia="Times New Roman" w:hAnsi="Cambria Math" w:cs="Times New Roman"/>
                  </w:rPr>
                  <m:t>v</m:t>
                </m:r>
              </m:sub>
            </m:sSub>
          </m:e>
        </m:nary>
      </m:oMath>
      <w:bookmarkEnd w:id="1"/>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t>(1</w:t>
      </w:r>
      <w:r>
        <w:rPr>
          <w:rFonts w:eastAsia="Times New Roman" w:cs="Times New Roman"/>
        </w:rPr>
        <w:t>9</w:t>
      </w:r>
      <w:r w:rsidRPr="00837AF8">
        <w:rPr>
          <w:rFonts w:eastAsia="Times New Roman" w:cs="Times New Roman"/>
        </w:rPr>
        <w:t>)</w:t>
      </w:r>
    </w:p>
    <w:p w14:paraId="1B44A2DF" w14:textId="288FEEDB" w:rsidR="001A0248" w:rsidRPr="00837AF8" w:rsidRDefault="001A0248" w:rsidP="001A0248">
      <w:pPr>
        <w:spacing w:after="120" w:line="360" w:lineRule="auto"/>
        <w:rPr>
          <w:rFonts w:eastAsia="Times New Roman" w:cs="Times New Roman"/>
        </w:rPr>
      </w:pPr>
      <w:bookmarkStart w:id="2" w:name="_Hlk131075319"/>
      <m:oMath>
        <m:r>
          <w:rPr>
            <w:rFonts w:ascii="Cambria Math" w:eastAsia="Times New Roman" w:hAnsi="Cambria Math" w:cs="Times New Roman"/>
          </w:rPr>
          <m:t>a</m:t>
        </m:r>
        <m:r>
          <m:rPr>
            <m:sty m:val="p"/>
          </m:rPr>
          <w:rPr>
            <w:rFonts w:ascii="Cambria Math" w:eastAsia="Times New Roman" w:hAnsi="Cambria Math" w:cs="Times New Roman"/>
          </w:rPr>
          <m:t>=</m:t>
        </m:r>
      </m:oMath>
      <w:r w:rsidRPr="00837AF8">
        <w:rPr>
          <w:rFonts w:eastAsia="Times New Roman" w:cs="Times New Roman"/>
        </w:rPr>
        <w:t xml:space="preserve"> </w:t>
      </w:r>
      <m:oMath>
        <m:sSub>
          <m:sSubPr>
            <m:ctrlPr>
              <w:rPr>
                <w:rFonts w:ascii="Cambria Math" w:eastAsia="Times New Roman" w:hAnsi="Cambria Math" w:cs="Times New Roman"/>
              </w:rPr>
            </m:ctrlPr>
          </m:sSubPr>
          <m:e>
            <m:r>
              <w:rPr>
                <w:rFonts w:ascii="Cambria Math" w:eastAsia="Times New Roman" w:hAnsi="Cambria Math" w:cs="Times New Roman"/>
              </w:rPr>
              <m:t>α</m:t>
            </m:r>
          </m:e>
          <m:sub>
            <m:r>
              <w:rPr>
                <w:rFonts w:ascii="Cambria Math" w:eastAsia="Times New Roman" w:hAnsi="Cambria Math" w:cs="Times New Roman"/>
              </w:rPr>
              <m:t>s</m:t>
            </m:r>
          </m:sub>
        </m:sSub>
      </m:oMath>
      <w:r w:rsidRPr="00837AF8">
        <w:rPr>
          <w:rFonts w:eastAsia="Times New Roman" w:cs="Times New Roman"/>
        </w:rPr>
        <w:t xml:space="preserve"> + </w:t>
      </w:r>
      <m:oMath>
        <m:sSub>
          <m:sSubPr>
            <m:ctrlPr>
              <w:rPr>
                <w:rFonts w:ascii="Cambria Math" w:eastAsia="Times New Roman" w:hAnsi="Cambria Math" w:cs="Times New Roman"/>
              </w:rPr>
            </m:ctrlPr>
          </m:sSubPr>
          <m:e>
            <m:r>
              <w:rPr>
                <w:rFonts w:ascii="Cambria Math" w:eastAsia="Times New Roman" w:hAnsi="Cambria Math" w:cs="Times New Roman"/>
              </w:rPr>
              <m:t>α</m:t>
            </m:r>
          </m:e>
          <m:sub>
            <m:r>
              <w:rPr>
                <w:rFonts w:ascii="Cambria Math" w:eastAsia="Times New Roman" w:hAnsi="Cambria Math" w:cs="Times New Roman"/>
              </w:rPr>
              <m:t>t</m:t>
            </m:r>
          </m:sub>
        </m:sSub>
      </m:oMath>
      <w:r w:rsidRPr="00837AF8">
        <w:rPr>
          <w:rFonts w:eastAsia="Times New Roman" w:cs="Times New Roman"/>
        </w:rPr>
        <w:t xml:space="preserve">=   </w:t>
      </w:r>
      <m:oMath>
        <m:nary>
          <m:naryPr>
            <m:chr m:val="∑"/>
            <m:limLoc m:val="subSup"/>
            <m:ctrlPr>
              <w:rPr>
                <w:rFonts w:ascii="Cambria Math" w:eastAsia="Times New Roman" w:hAnsi="Cambria Math" w:cs="Times New Roman"/>
              </w:rPr>
            </m:ctrlPr>
          </m:naryPr>
          <m:sub>
            <m:r>
              <w:rPr>
                <w:rFonts w:ascii="Cambria Math" w:eastAsia="Times New Roman" w:hAnsi="Cambria Math" w:cs="Times New Roman"/>
              </w:rPr>
              <m:t>k</m:t>
            </m:r>
            <m:r>
              <m:rPr>
                <m:sty m:val="p"/>
              </m:rPr>
              <w:rPr>
                <w:rFonts w:ascii="Cambria Math" w:eastAsia="Times New Roman" w:hAnsi="Cambria Math" w:cs="Times New Roman"/>
              </w:rPr>
              <m:t>=1</m:t>
            </m:r>
          </m:sub>
          <m:sup>
            <m:r>
              <w:rPr>
                <w:rFonts w:ascii="Cambria Math" w:eastAsia="Times New Roman" w:hAnsi="Cambria Math" w:cs="Times New Roman"/>
              </w:rPr>
              <m:t>m</m:t>
            </m:r>
          </m:sup>
          <m:e>
            <m:sSub>
              <m:sSubPr>
                <m:ctrlPr>
                  <w:rPr>
                    <w:rFonts w:ascii="Cambria Math" w:eastAsia="Times New Roman" w:hAnsi="Cambria Math" w:cs="Times New Roman"/>
                  </w:rPr>
                </m:ctrlPr>
              </m:sSubPr>
              <m:e>
                <m:r>
                  <m:rPr>
                    <m:sty m:val="p"/>
                  </m:rPr>
                  <w:rPr>
                    <w:rFonts w:ascii="Cambria Math" w:eastAsia="Times New Roman" w:hAnsi="Cambria Math" w:cs="Times New Roman"/>
                  </w:rPr>
                  <m:t>(</m:t>
                </m:r>
                <m:sSub>
                  <m:sSubPr>
                    <m:ctrlPr>
                      <w:rPr>
                        <w:rFonts w:ascii="Cambria Math" w:eastAsia="Times New Roman" w:hAnsi="Cambria Math" w:cs="Times New Roman"/>
                      </w:rPr>
                    </m:ctrlPr>
                  </m:sSubPr>
                  <m:e>
                    <m:r>
                      <w:rPr>
                        <w:rFonts w:ascii="Cambria Math" w:eastAsia="Times New Roman" w:hAnsi="Cambria Math" w:cs="Times New Roman"/>
                      </w:rPr>
                      <m:t>α</m:t>
                    </m:r>
                  </m:e>
                  <m:sub>
                    <m:r>
                      <w:rPr>
                        <w:rFonts w:ascii="Cambria Math" w:eastAsia="Times New Roman" w:hAnsi="Cambria Math" w:cs="Times New Roman"/>
                      </w:rPr>
                      <m:t>s</m:t>
                    </m:r>
                  </m:sub>
                </m:sSub>
                <m:r>
                  <m:rPr>
                    <m:sty m:val="p"/>
                  </m:rPr>
                  <w:rPr>
                    <w:rFonts w:ascii="Cambria Math" w:eastAsia="Times New Roman" w:hAnsi="Cambria Math" w:cs="Times New Roman"/>
                  </w:rPr>
                  <m:t>)</m:t>
                </m:r>
              </m:e>
              <m:sub>
                <m:r>
                  <w:rPr>
                    <w:rFonts w:ascii="Cambria Math" w:eastAsia="Times New Roman" w:hAnsi="Cambria Math" w:cs="Times New Roman"/>
                  </w:rPr>
                  <m:t>k</m:t>
                </m:r>
              </m:sub>
            </m:sSub>
          </m:e>
        </m:nary>
      </m:oMath>
      <w:r w:rsidRPr="00837AF8">
        <w:rPr>
          <w:rFonts w:eastAsia="Times New Roman" w:cs="Times New Roman"/>
        </w:rPr>
        <w:t xml:space="preserve"> + </w:t>
      </w:r>
      <m:oMath>
        <m:nary>
          <m:naryPr>
            <m:chr m:val="∑"/>
            <m:limLoc m:val="subSup"/>
            <m:ctrlPr>
              <w:rPr>
                <w:rFonts w:ascii="Cambria Math" w:eastAsia="Times New Roman" w:hAnsi="Cambria Math" w:cs="Times New Roman"/>
              </w:rPr>
            </m:ctrlPr>
          </m:naryPr>
          <m:sub>
            <m:r>
              <w:rPr>
                <w:rFonts w:ascii="Cambria Math" w:eastAsia="Times New Roman" w:hAnsi="Cambria Math" w:cs="Times New Roman"/>
              </w:rPr>
              <m:t>v</m:t>
            </m:r>
            <m:r>
              <m:rPr>
                <m:sty m:val="p"/>
              </m:rPr>
              <w:rPr>
                <w:rFonts w:ascii="Cambria Math" w:eastAsia="Times New Roman" w:hAnsi="Cambria Math" w:cs="Times New Roman"/>
              </w:rPr>
              <m:t>=1</m:t>
            </m:r>
          </m:sub>
          <m:sup>
            <m:r>
              <w:rPr>
                <w:rFonts w:ascii="Cambria Math" w:eastAsia="Times New Roman" w:hAnsi="Cambria Math" w:cs="Times New Roman"/>
              </w:rPr>
              <m:t>d</m:t>
            </m:r>
          </m:sup>
          <m:e>
            <m:sSub>
              <m:sSubPr>
                <m:ctrlPr>
                  <w:rPr>
                    <w:rFonts w:ascii="Cambria Math" w:eastAsia="Times New Roman" w:hAnsi="Cambria Math" w:cs="Times New Roman"/>
                  </w:rPr>
                </m:ctrlPr>
              </m:sSubPr>
              <m:e>
                <m:r>
                  <m:rPr>
                    <m:sty m:val="p"/>
                  </m:rPr>
                  <w:rPr>
                    <w:rFonts w:ascii="Cambria Math" w:eastAsia="Times New Roman" w:hAnsi="Cambria Math" w:cs="Times New Roman"/>
                  </w:rPr>
                  <m:t>(</m:t>
                </m:r>
                <m:sSub>
                  <m:sSubPr>
                    <m:ctrlPr>
                      <w:rPr>
                        <w:rFonts w:ascii="Cambria Math" w:eastAsia="Times New Roman" w:hAnsi="Cambria Math" w:cs="Times New Roman"/>
                      </w:rPr>
                    </m:ctrlPr>
                  </m:sSubPr>
                  <m:e>
                    <m:r>
                      <w:rPr>
                        <w:rFonts w:ascii="Cambria Math" w:eastAsia="Times New Roman" w:hAnsi="Cambria Math" w:cs="Times New Roman"/>
                      </w:rPr>
                      <m:t>α</m:t>
                    </m:r>
                  </m:e>
                  <m:sub>
                    <m:r>
                      <w:rPr>
                        <w:rFonts w:ascii="Cambria Math" w:eastAsia="Times New Roman" w:hAnsi="Cambria Math" w:cs="Times New Roman"/>
                      </w:rPr>
                      <m:t>t</m:t>
                    </m:r>
                  </m:sub>
                </m:sSub>
                <m:r>
                  <m:rPr>
                    <m:sty m:val="p"/>
                  </m:rPr>
                  <w:rPr>
                    <w:rFonts w:ascii="Cambria Math" w:eastAsia="Times New Roman" w:hAnsi="Cambria Math" w:cs="Times New Roman"/>
                  </w:rPr>
                  <m:t>)</m:t>
                </m:r>
              </m:e>
              <m:sub>
                <m:r>
                  <w:rPr>
                    <w:rFonts w:ascii="Cambria Math" w:eastAsia="Times New Roman" w:hAnsi="Cambria Math" w:cs="Times New Roman"/>
                  </w:rPr>
                  <m:t>v</m:t>
                </m:r>
              </m:sub>
            </m:sSub>
          </m:e>
        </m:nary>
      </m:oMath>
      <w:bookmarkEnd w:id="2"/>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r>
      <w:r w:rsidRPr="00837AF8">
        <w:rPr>
          <w:rFonts w:eastAsia="Times New Roman" w:cs="Times New Roman"/>
        </w:rPr>
        <w:tab/>
        <w:t>(</w:t>
      </w:r>
      <w:r>
        <w:rPr>
          <w:rFonts w:eastAsia="Times New Roman" w:cs="Times New Roman"/>
        </w:rPr>
        <w:t>20</w:t>
      </w:r>
      <w:r w:rsidRPr="00837AF8">
        <w:rPr>
          <w:rFonts w:eastAsia="Times New Roman" w:cs="Times New Roman"/>
        </w:rPr>
        <w:t>)</w:t>
      </w:r>
    </w:p>
    <w:p w14:paraId="332906A6" w14:textId="520A6CD2" w:rsidR="001A0248" w:rsidRPr="005F1AC9" w:rsidRDefault="001A0248" w:rsidP="001A0248">
      <w:pPr>
        <w:spacing w:after="120" w:line="360" w:lineRule="auto"/>
        <w:rPr>
          <w:rFonts w:eastAsia="Times New Roman" w:cs="Times New Roman"/>
        </w:rPr>
      </w:pPr>
      <w:bookmarkStart w:id="3" w:name="_Hlk131075337"/>
      <m:oMath>
        <m:r>
          <w:rPr>
            <w:rFonts w:ascii="Cambria Math" w:eastAsia="Times New Roman" w:hAnsi="Cambria Math" w:cs="Times New Roman"/>
          </w:rPr>
          <m:t>m</m:t>
        </m:r>
        <m:r>
          <m:rPr>
            <m:sty m:val="p"/>
          </m:rPr>
          <w:rPr>
            <w:rFonts w:ascii="Cambria Math" w:eastAsia="Times New Roman" w:hAnsi="Cambria Math" w:cs="Times New Roman"/>
          </w:rPr>
          <m:t>=</m:t>
        </m:r>
        <m:sSub>
          <m:sSubPr>
            <m:ctrlPr>
              <w:rPr>
                <w:rFonts w:ascii="Cambria Math" w:eastAsia="Times New Roman" w:hAnsi="Cambria Math" w:cs="Times New Roman"/>
              </w:rPr>
            </m:ctrlPr>
          </m:sSubPr>
          <m:e>
            <m:r>
              <w:rPr>
                <w:rFonts w:ascii="Cambria Math" w:eastAsia="Times New Roman" w:hAnsi="Cambria Math" w:cs="Times New Roman"/>
              </w:rPr>
              <m:t>α</m:t>
            </m:r>
          </m:e>
          <m:sub>
            <m:r>
              <w:rPr>
                <w:rFonts w:ascii="Cambria Math" w:eastAsia="Times New Roman" w:hAnsi="Cambria Math" w:cs="Times New Roman"/>
              </w:rPr>
              <m:t>p</m:t>
            </m:r>
          </m:sub>
        </m:sSub>
        <m:r>
          <m:rPr>
            <m:sty m:val="p"/>
          </m:rPr>
          <w:rPr>
            <w:rFonts w:ascii="Cambria Math" w:eastAsia="Times New Roman" w:hAnsi="Cambria Math" w:cs="Times New Roman"/>
          </w:rPr>
          <m:t>+</m:t>
        </m:r>
        <m:nary>
          <m:naryPr>
            <m:chr m:val="∑"/>
            <m:limLoc m:val="subSup"/>
            <m:ctrlPr>
              <w:rPr>
                <w:rFonts w:ascii="Cambria Math" w:eastAsia="Times New Roman" w:hAnsi="Cambria Math" w:cs="Times New Roman"/>
              </w:rPr>
            </m:ctrlPr>
          </m:naryPr>
          <m:sub>
            <m:r>
              <w:rPr>
                <w:rFonts w:ascii="Cambria Math" w:eastAsia="Times New Roman" w:hAnsi="Cambria Math" w:cs="Times New Roman"/>
              </w:rPr>
              <m:t>z</m:t>
            </m:r>
            <m:r>
              <m:rPr>
                <m:sty m:val="p"/>
              </m:rPr>
              <w:rPr>
                <w:rFonts w:ascii="Cambria Math" w:eastAsia="Times New Roman" w:hAnsi="Cambria Math" w:cs="Times New Roman"/>
              </w:rPr>
              <m:t>=1</m:t>
            </m:r>
          </m:sub>
          <m:sup>
            <m:r>
              <w:rPr>
                <w:rFonts w:ascii="Cambria Math" w:eastAsia="Times New Roman" w:hAnsi="Cambria Math" w:cs="Times New Roman"/>
              </w:rPr>
              <m:t>q</m:t>
            </m:r>
          </m:sup>
          <m:e>
            <m:sSub>
              <m:sSubPr>
                <m:ctrlPr>
                  <w:rPr>
                    <w:rFonts w:ascii="Cambria Math" w:eastAsia="Times New Roman" w:hAnsi="Cambria Math" w:cs="Times New Roman"/>
                  </w:rPr>
                </m:ctrlPr>
              </m:sSubPr>
              <m:e>
                <m:r>
                  <w:rPr>
                    <w:rFonts w:ascii="Cambria Math" w:eastAsia="Times New Roman" w:hAnsi="Cambria Math" w:cs="Times New Roman"/>
                  </w:rPr>
                  <m:t>m</m:t>
                </m:r>
              </m:e>
              <m:sub>
                <m:r>
                  <w:rPr>
                    <w:rFonts w:ascii="Cambria Math" w:eastAsia="Times New Roman" w:hAnsi="Cambria Math" w:cs="Times New Roman"/>
                  </w:rPr>
                  <m:t>z</m:t>
                </m:r>
              </m:sub>
            </m:sSub>
          </m:e>
        </m:nary>
      </m:oMath>
      <w:bookmarkEnd w:id="3"/>
      <w:r w:rsidRPr="005F1AC9">
        <w:rPr>
          <w:rFonts w:eastAsia="Times New Roman" w:cs="Times New Roman"/>
        </w:rPr>
        <w:tab/>
      </w:r>
      <w:r w:rsidRPr="005F1AC9">
        <w:rPr>
          <w:rFonts w:eastAsia="Times New Roman" w:cs="Times New Roman"/>
        </w:rPr>
        <w:tab/>
      </w:r>
      <w:r w:rsidRPr="005F1AC9">
        <w:rPr>
          <w:rFonts w:eastAsia="Times New Roman" w:cs="Times New Roman"/>
        </w:rPr>
        <w:tab/>
      </w:r>
      <w:r w:rsidRPr="005F1AC9">
        <w:rPr>
          <w:rFonts w:eastAsia="Times New Roman" w:cs="Times New Roman"/>
        </w:rPr>
        <w:tab/>
      </w:r>
      <w:r w:rsidRPr="005F1AC9">
        <w:rPr>
          <w:rFonts w:eastAsia="Times New Roman" w:cs="Times New Roman"/>
        </w:rPr>
        <w:tab/>
      </w:r>
      <w:r w:rsidRPr="005F1AC9">
        <w:rPr>
          <w:rFonts w:eastAsia="Times New Roman" w:cs="Times New Roman"/>
        </w:rPr>
        <w:tab/>
      </w:r>
      <w:r w:rsidRPr="005F1AC9">
        <w:rPr>
          <w:rFonts w:eastAsia="Times New Roman" w:cs="Times New Roman"/>
        </w:rPr>
        <w:tab/>
      </w:r>
      <w:r w:rsidRPr="005F1AC9">
        <w:rPr>
          <w:rFonts w:eastAsia="Times New Roman" w:cs="Times New Roman"/>
        </w:rPr>
        <w:tab/>
      </w:r>
      <w:r w:rsidRPr="005F1AC9">
        <w:rPr>
          <w:rFonts w:eastAsia="Times New Roman" w:cs="Times New Roman"/>
        </w:rPr>
        <w:tab/>
      </w:r>
      <w:r w:rsidRPr="005F1AC9">
        <w:rPr>
          <w:rFonts w:eastAsia="Times New Roman" w:cs="Times New Roman"/>
        </w:rPr>
        <w:tab/>
        <w:t>(</w:t>
      </w:r>
      <w:r>
        <w:rPr>
          <w:rFonts w:eastAsia="Times New Roman" w:cs="Times New Roman"/>
        </w:rPr>
        <w:t>21</w:t>
      </w:r>
      <w:r w:rsidRPr="005F1AC9">
        <w:rPr>
          <w:rFonts w:eastAsia="Times New Roman" w:cs="Times New Roman"/>
        </w:rPr>
        <w:t>)</w:t>
      </w:r>
    </w:p>
    <w:p w14:paraId="47F0ECA4" w14:textId="25E6E05D" w:rsidR="001A0248" w:rsidRPr="00837AF8" w:rsidRDefault="001A0248" w:rsidP="001A0248">
      <w:pPr>
        <w:spacing w:after="120" w:line="360" w:lineRule="auto"/>
        <w:rPr>
          <w:rFonts w:eastAsia="Times New Roman" w:cs="Times New Roman"/>
        </w:rPr>
      </w:pPr>
      <w:r w:rsidRPr="00837AF8">
        <w:rPr>
          <w:rFonts w:eastAsia="Times New Roman" w:cs="Times New Roman"/>
        </w:rPr>
        <w:t>0</w:t>
      </w:r>
      <m:oMath>
        <m:r>
          <m:rPr>
            <m:sty m:val="p"/>
          </m:rPr>
          <w:rPr>
            <w:rFonts w:ascii="Cambria Math" w:eastAsia="Times New Roman" w:hAnsi="Cambria Math" w:cs="Times New Roman"/>
          </w:rPr>
          <m:t>≤</m:t>
        </m:r>
        <m:sSub>
          <m:sSubPr>
            <m:ctrlPr>
              <w:rPr>
                <w:rFonts w:ascii="Cambria Math" w:eastAsia="Times New Roman" w:hAnsi="Cambria Math" w:cs="Times New Roman"/>
              </w:rPr>
            </m:ctrlPr>
          </m:sSubPr>
          <m:e>
            <m:r>
              <m:rPr>
                <m:sty m:val="p"/>
              </m:rPr>
              <w:rPr>
                <w:rFonts w:ascii="Cambria Math" w:eastAsia="Times New Roman" w:hAnsi="Cambria Math" w:cs="Times New Roman"/>
              </w:rPr>
              <m:t xml:space="preserve"> </m:t>
            </m:r>
            <m:r>
              <w:rPr>
                <w:rFonts w:ascii="Cambria Math" w:eastAsia="Times New Roman" w:hAnsi="Cambria Math" w:cs="Times New Roman"/>
              </w:rPr>
              <m:t>a</m:t>
            </m:r>
          </m:e>
          <m:sub>
            <m:r>
              <w:rPr>
                <w:rFonts w:ascii="Cambria Math" w:eastAsia="Times New Roman" w:hAnsi="Cambria Math" w:cs="Times New Roman"/>
              </w:rPr>
              <m:t>mi</m:t>
            </m:r>
          </m:sub>
        </m:sSub>
        <m:r>
          <m:rPr>
            <m:sty m:val="p"/>
          </m:rPr>
          <w:rPr>
            <w:rFonts w:ascii="Cambria Math" w:eastAsia="Times New Roman" w:hAnsi="Cambria Math" w:cs="Times New Roman"/>
          </w:rPr>
          <m:t>≤1</m:t>
        </m:r>
      </m:oMath>
      <w:r w:rsidRPr="00837AF8">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837AF8">
        <w:rPr>
          <w:rFonts w:eastAsia="Times New Roman" w:cs="Times New Roman"/>
        </w:rPr>
        <w:t>(</w:t>
      </w:r>
      <w:r>
        <w:rPr>
          <w:rFonts w:eastAsia="Times New Roman" w:cs="Times New Roman"/>
        </w:rPr>
        <w:t>22</w:t>
      </w:r>
      <w:r w:rsidRPr="00837AF8">
        <w:rPr>
          <w:rFonts w:eastAsia="Times New Roman" w:cs="Times New Roman"/>
        </w:rPr>
        <w:t>)</w:t>
      </w:r>
    </w:p>
    <w:p w14:paraId="58F6A976" w14:textId="30826704" w:rsidR="00984C8D" w:rsidRPr="00DF6E13" w:rsidRDefault="00984C8D" w:rsidP="00984C8D">
      <w:pPr>
        <w:pStyle w:val="SSRNnormal"/>
      </w:pPr>
      <w:r w:rsidRPr="00DF6E13">
        <w:t xml:space="preserve">In the previous equations the </w:t>
      </w:r>
      <m:oMath>
        <m:sSub>
          <m:sSubPr>
            <m:ctrlPr>
              <w:rPr>
                <w:rFonts w:ascii="Cambria Math" w:hAnsi="Cambria Math"/>
              </w:rPr>
            </m:ctrlPr>
          </m:sSubPr>
          <m:e>
            <m:r>
              <w:rPr>
                <w:rFonts w:ascii="Cambria Math" w:hAnsi="Cambria Math"/>
              </w:rPr>
              <m:t>a</m:t>
            </m:r>
          </m:e>
          <m:sub>
            <m:r>
              <w:rPr>
                <w:rFonts w:ascii="Cambria Math" w:hAnsi="Cambria Math"/>
              </w:rPr>
              <m:t>mi</m:t>
            </m:r>
          </m:sub>
        </m:sSub>
      </m:oMath>
      <w:r w:rsidRPr="00DF6E13">
        <w:t xml:space="preserve"> which represents the mixed savings. The role of mixed savings is to represent that simultaneously the factories, the research, and the development centers have </w:t>
      </w:r>
      <w:r w:rsidR="001A0248">
        <w:t>escape</w:t>
      </w:r>
      <w:r w:rsidRPr="00DF6E13">
        <w:t xml:space="preserve"> savings. The </w:t>
      </w:r>
      <w:proofErr w:type="gramStart"/>
      <w:r w:rsidRPr="00DF6E13">
        <w:t>rest</w:t>
      </w:r>
      <w:proofErr w:type="gramEnd"/>
      <w:r w:rsidRPr="00DF6E13">
        <w:t xml:space="preserve"> symbols are already defined. </w:t>
      </w:r>
    </w:p>
    <w:p w14:paraId="3C3AD59E" w14:textId="07741589" w:rsidR="00984C8D" w:rsidRPr="00503643" w:rsidRDefault="00000000" w:rsidP="00984C8D">
      <w:pPr>
        <w:pStyle w:val="SSRNnormal"/>
        <w:rPr>
          <w:rFonts w:eastAsiaTheme="minorEastAsia"/>
        </w:rPr>
      </w:pPr>
      <m:oMath>
        <m:sSub>
          <m:sSubPr>
            <m:ctrlPr>
              <w:rPr>
                <w:rFonts w:ascii="Cambria Math" w:eastAsiaTheme="minorEastAsia" w:hAnsi="Cambria Math"/>
                <w:i/>
                <w:lang w:val="el-GR"/>
              </w:rPr>
            </m:ctrlPr>
          </m:sSubPr>
          <m:e>
            <m:r>
              <w:rPr>
                <w:rFonts w:ascii="Cambria Math" w:eastAsiaTheme="minorEastAsia" w:hAnsi="Cambria Math"/>
              </w:rPr>
              <m:t>c</m:t>
            </m:r>
          </m:e>
          <m:sub>
            <m:r>
              <w:rPr>
                <w:rFonts w:ascii="Cambria Math" w:eastAsiaTheme="minorEastAsia" w:hAnsi="Cambria Math"/>
                <w:lang w:val="el-GR"/>
              </w:rPr>
              <m:t>α</m:t>
            </m:r>
          </m:sub>
        </m:sSub>
        <m:r>
          <w:rPr>
            <w:rFonts w:ascii="Cambria Math" w:eastAsiaTheme="minorEastAsia" w:hAnsi="Cambria Math"/>
          </w:rPr>
          <m:t>=</m:t>
        </m:r>
        <m:sSub>
          <m:sSubPr>
            <m:ctrlPr>
              <w:rPr>
                <w:rFonts w:ascii="Cambria Math" w:eastAsiaTheme="minorEastAsia" w:hAnsi="Cambria Math"/>
                <w:i/>
                <w:lang w:val="el-GR"/>
              </w:rPr>
            </m:ctrlPr>
          </m:sSubPr>
          <m:e>
            <m:r>
              <w:rPr>
                <w:rFonts w:ascii="Cambria Math" w:eastAsiaTheme="minorEastAsia" w:hAnsi="Cambria Math"/>
                <w:lang w:val="el-GR"/>
              </w:rPr>
              <m:t>c</m:t>
            </m:r>
          </m:e>
          <m:sub>
            <m:r>
              <w:rPr>
                <w:rFonts w:ascii="Cambria Math" w:eastAsiaTheme="minorEastAsia" w:hAnsi="Cambria Math"/>
                <w:lang w:val="el-GR"/>
              </w:rPr>
              <m:t>a</m:t>
            </m:r>
            <m:r>
              <w:rPr>
                <w:rFonts w:ascii="Cambria Math" w:eastAsiaTheme="minorEastAsia" w:hAnsi="Cambria Math"/>
              </w:rPr>
              <m:t>0</m:t>
            </m:r>
          </m:sub>
        </m:sSub>
        <m:func>
          <m:funcPr>
            <m:ctrlPr>
              <w:rPr>
                <w:rFonts w:ascii="Cambria Math" w:eastAsiaTheme="minorEastAsia" w:hAnsi="Cambria Math"/>
                <w:i/>
                <w:lang w:val="el-GR"/>
              </w:rPr>
            </m:ctrlPr>
          </m:funcPr>
          <m:fName>
            <m:r>
              <w:rPr>
                <w:rFonts w:ascii="Cambria Math" w:eastAsiaTheme="minorEastAsia" w:hAnsi="Cambria Math"/>
              </w:rPr>
              <m:t>*</m:t>
            </m:r>
            <m:r>
              <w:rPr>
                <w:rFonts w:ascii="Cambria Math" w:eastAsiaTheme="minorEastAsia" w:hAnsi="Cambria Math"/>
                <w:lang w:val="el-GR"/>
              </w:rPr>
              <m:t>ln</m:t>
            </m:r>
          </m:fName>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m0</m:t>
                </m:r>
              </m:sub>
            </m:sSub>
          </m:e>
        </m:func>
        <m:r>
          <w:rPr>
            <w:rFonts w:ascii="Cambria Math" w:eastAsiaTheme="minorEastAsia" w:hAnsi="Cambria Math"/>
          </w:rPr>
          <m:t>)</m:t>
        </m:r>
      </m:oMath>
      <w:r w:rsidR="00984C8D" w:rsidRPr="00503643">
        <w:rPr>
          <w:rFonts w:eastAsiaTheme="minorEastAsia"/>
        </w:rPr>
        <w:tab/>
      </w:r>
      <w:r w:rsidR="00984C8D" w:rsidRPr="00503643">
        <w:rPr>
          <w:rFonts w:eastAsiaTheme="minorEastAsia"/>
        </w:rPr>
        <w:tab/>
      </w:r>
      <w:r w:rsidR="00984C8D" w:rsidRPr="00503643">
        <w:rPr>
          <w:rFonts w:eastAsiaTheme="minorEastAsia"/>
        </w:rPr>
        <w:tab/>
      </w:r>
      <w:r w:rsidR="00984C8D" w:rsidRPr="00503643">
        <w:rPr>
          <w:rFonts w:eastAsiaTheme="minorEastAsia"/>
        </w:rPr>
        <w:tab/>
      </w:r>
      <w:r w:rsidR="00984C8D" w:rsidRPr="00503643">
        <w:rPr>
          <w:rFonts w:eastAsiaTheme="minorEastAsia"/>
        </w:rPr>
        <w:tab/>
      </w:r>
      <w:r w:rsidR="00984C8D" w:rsidRPr="00503643">
        <w:rPr>
          <w:rFonts w:eastAsiaTheme="minorEastAsia"/>
        </w:rPr>
        <w:tab/>
      </w:r>
      <w:r w:rsidR="00984C8D" w:rsidRPr="00503643">
        <w:rPr>
          <w:rFonts w:eastAsiaTheme="minorEastAsia"/>
        </w:rPr>
        <w:tab/>
      </w:r>
      <w:r w:rsidR="00984C8D">
        <w:rPr>
          <w:rFonts w:eastAsiaTheme="minorEastAsia"/>
        </w:rPr>
        <w:tab/>
      </w:r>
      <w:r w:rsidR="00984C8D" w:rsidRPr="00503643">
        <w:rPr>
          <w:rFonts w:eastAsiaTheme="minorEastAsia"/>
        </w:rPr>
        <w:tab/>
        <w:t>(</w:t>
      </w:r>
      <w:r w:rsidR="001A0248">
        <w:rPr>
          <w:rFonts w:eastAsiaTheme="minorEastAsia"/>
        </w:rPr>
        <w:t>23</w:t>
      </w:r>
      <w:r w:rsidR="00984C8D" w:rsidRPr="00503643">
        <w:rPr>
          <w:rFonts w:eastAsiaTheme="minorEastAsia"/>
        </w:rPr>
        <w:t>)</w:t>
      </w:r>
    </w:p>
    <w:p w14:paraId="3821DD39" w14:textId="12E7F4CD" w:rsidR="00984C8D" w:rsidRPr="00503643" w:rsidRDefault="00000000" w:rsidP="00984C8D">
      <w:pPr>
        <w:pStyle w:val="SSRNnormal"/>
        <w:rPr>
          <w:rFonts w:eastAsiaTheme="minorEastAsia"/>
        </w:rPr>
      </w:pP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yα</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m:t>
            </m:r>
            <m:sSub>
              <m:sSubPr>
                <m:ctrlPr>
                  <w:rPr>
                    <w:rFonts w:ascii="Cambria Math" w:eastAsiaTheme="minorEastAsia" w:hAnsi="Cambria Math"/>
                    <w:i/>
                    <w:lang w:val="el-GR"/>
                  </w:rPr>
                </m:ctrlPr>
              </m:sSubPr>
              <m:e>
                <m:r>
                  <w:rPr>
                    <w:rFonts w:ascii="Cambria Math" w:eastAsiaTheme="minorEastAsia" w:hAnsi="Cambria Math"/>
                  </w:rPr>
                  <m:t>c</m:t>
                </m:r>
              </m:e>
              <m:sub>
                <m:r>
                  <w:rPr>
                    <w:rFonts w:ascii="Cambria Math" w:eastAsiaTheme="minorEastAsia" w:hAnsi="Cambria Math"/>
                    <w:lang w:val="el-GR"/>
                  </w:rPr>
                  <m:t>a</m:t>
                </m:r>
              </m:sub>
            </m:sSub>
            <m:r>
              <w:rPr>
                <w:rFonts w:ascii="Cambria Math" w:eastAsiaTheme="minorEastAsia" w:hAnsi="Cambria Math"/>
              </w:rPr>
              <m:t>-</m:t>
            </m:r>
            <m:sSub>
              <m:sSubPr>
                <m:ctrlPr>
                  <w:rPr>
                    <w:rFonts w:ascii="Cambria Math" w:eastAsiaTheme="minorEastAsia" w:hAnsi="Cambria Math"/>
                    <w:i/>
                    <w:lang w:val="el-GR"/>
                  </w:rPr>
                </m:ctrlPr>
              </m:sSubPr>
              <m:e>
                <m:r>
                  <w:rPr>
                    <w:rFonts w:ascii="Cambria Math" w:eastAsiaTheme="minorEastAsia" w:hAnsi="Cambria Math"/>
                  </w:rPr>
                  <m:t>c</m:t>
                </m:r>
              </m:e>
              <m:sub>
                <m:r>
                  <w:rPr>
                    <w:rFonts w:ascii="Cambria Math" w:eastAsiaTheme="minorEastAsia" w:hAnsi="Cambria Math"/>
                    <w:lang w:val="el-GR"/>
                  </w:rPr>
                  <m:t>a</m:t>
                </m:r>
                <m:r>
                  <w:rPr>
                    <w:rFonts w:ascii="Cambria Math" w:eastAsiaTheme="minorEastAsia" w:hAnsi="Cambria Math"/>
                  </w:rPr>
                  <m:t>0</m:t>
                </m:r>
              </m:sub>
            </m:sSub>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y</m:t>
            </m:r>
            <m:r>
              <w:rPr>
                <w:rFonts w:ascii="Cambria Math" w:eastAsiaTheme="minorEastAsia" w:hAnsi="Cambria Math"/>
                <w:lang w:val="el-GR"/>
              </w:rPr>
              <m:t>α</m:t>
            </m:r>
            <m:r>
              <w:rPr>
                <w:rFonts w:ascii="Cambria Math" w:eastAsiaTheme="minorEastAsia" w:hAnsi="Cambria Math"/>
              </w:rPr>
              <m:t>0</m:t>
            </m:r>
          </m:sub>
        </m:sSub>
      </m:oMath>
      <w:r w:rsidR="00984C8D" w:rsidRPr="00503643">
        <w:rPr>
          <w:rFonts w:eastAsiaTheme="minorEastAsia"/>
        </w:rPr>
        <w:t xml:space="preserve">]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lang w:val="el-GR"/>
                  </w:rPr>
                </m:ctrlPr>
              </m:sSubPr>
              <m:e>
                <m:r>
                  <w:rPr>
                    <w:rFonts w:ascii="Cambria Math" w:eastAsiaTheme="minorEastAsia" w:hAnsi="Cambria Math"/>
                  </w:rPr>
                  <m:t>c</m:t>
                </m:r>
              </m:e>
              <m:sub>
                <m:r>
                  <w:rPr>
                    <w:rFonts w:ascii="Cambria Math" w:eastAsiaTheme="minorEastAsia" w:hAnsi="Cambria Math"/>
                    <w:lang w:val="el-GR"/>
                  </w:rPr>
                  <m:t>a</m:t>
                </m:r>
              </m:sub>
            </m:sSub>
          </m:den>
        </m:f>
        <m:r>
          <w:rPr>
            <w:rFonts w:ascii="Cambria Math" w:eastAsiaTheme="minorEastAsia" w:hAnsi="Cambria Math"/>
          </w:rPr>
          <m:t xml:space="preserve"> </m:t>
        </m:r>
      </m:oMath>
      <w:r w:rsidR="00984C8D" w:rsidRPr="00503643">
        <w:rPr>
          <w:rFonts w:eastAsiaTheme="minorEastAsia"/>
        </w:rPr>
        <w:t xml:space="preserve">) </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3</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 xml:space="preserve">ln </m:t>
            </m:r>
            <m:sSub>
              <m:sSubPr>
                <m:ctrlPr>
                  <w:rPr>
                    <w:rFonts w:ascii="Cambria Math" w:eastAsiaTheme="minorEastAsia" w:hAnsi="Cambria Math"/>
                    <w:i/>
                    <w:lang w:val="el-GR"/>
                  </w:rPr>
                </m:ctrlPr>
              </m:sSubPr>
              <m:e>
                <m:r>
                  <w:rPr>
                    <w:rFonts w:ascii="Cambria Math" w:eastAsiaTheme="minorEastAsia" w:hAnsi="Cambria Math"/>
                  </w:rPr>
                  <m:t>c</m:t>
                </m:r>
              </m:e>
              <m:sub>
                <m:r>
                  <w:rPr>
                    <w:rFonts w:ascii="Cambria Math" w:eastAsiaTheme="minorEastAsia" w:hAnsi="Cambria Math"/>
                    <w:lang w:val="el-GR"/>
                  </w:rPr>
                  <m:t>a</m:t>
                </m:r>
              </m:sub>
            </m:sSub>
          </m:den>
        </m:f>
        <m:r>
          <w:rPr>
            <w:rFonts w:ascii="Cambria Math" w:eastAsiaTheme="minorEastAsia" w:hAnsi="Cambria Math"/>
          </w:rPr>
          <m:t>)</m:t>
        </m:r>
      </m:oMath>
      <w:r w:rsidR="00984C8D" w:rsidRPr="00503643">
        <w:rPr>
          <w:rFonts w:eastAsiaTheme="minorEastAsia"/>
        </w:rPr>
        <w:tab/>
      </w:r>
      <w:r w:rsidR="00984C8D" w:rsidRPr="00503643">
        <w:rPr>
          <w:rFonts w:eastAsiaTheme="minorEastAsia"/>
        </w:rPr>
        <w:tab/>
      </w:r>
      <w:r w:rsidR="00984C8D" w:rsidRPr="00503643">
        <w:rPr>
          <w:rFonts w:eastAsiaTheme="minorEastAsia"/>
        </w:rPr>
        <w:tab/>
      </w:r>
      <w:r w:rsidR="00984C8D" w:rsidRPr="00503643">
        <w:rPr>
          <w:rFonts w:eastAsiaTheme="minorEastAsia"/>
        </w:rPr>
        <w:tab/>
      </w:r>
      <w:r w:rsidR="00984C8D">
        <w:rPr>
          <w:rFonts w:eastAsiaTheme="minorEastAsia"/>
        </w:rPr>
        <w:tab/>
      </w:r>
      <w:r w:rsidR="00984C8D" w:rsidRPr="00503643">
        <w:rPr>
          <w:rFonts w:eastAsiaTheme="minorEastAsia"/>
        </w:rPr>
        <w:tab/>
        <w:t>(</w:t>
      </w:r>
      <w:r w:rsidR="001A0248">
        <w:rPr>
          <w:rFonts w:eastAsiaTheme="minorEastAsia"/>
        </w:rPr>
        <w:t>24</w:t>
      </w:r>
      <w:r w:rsidR="00984C8D" w:rsidRPr="00503643">
        <w:rPr>
          <w:rFonts w:eastAsiaTheme="minorEastAsia"/>
        </w:rPr>
        <w:t>)</w:t>
      </w:r>
    </w:p>
    <w:p w14:paraId="0630B0D9" w14:textId="2CBBAAE0" w:rsidR="00984C8D" w:rsidRPr="00503643" w:rsidRDefault="00000000" w:rsidP="00984C8D">
      <w:pPr>
        <w:pStyle w:val="SSRNnormal"/>
        <w:rPr>
          <w:rFonts w:eastAsiaTheme="minorEastAsia"/>
        </w:rPr>
      </w:pP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m:t>
        </m:r>
      </m:oMath>
      <w:r w:rsidR="00984C8D" w:rsidRPr="00DF6E1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 b</m:t>
            </m:r>
          </m:e>
          <m:sub>
            <m:r>
              <w:rPr>
                <w:rFonts w:ascii="Cambria Math" w:eastAsiaTheme="minorEastAsia" w:hAnsi="Cambria Math"/>
              </w:rPr>
              <m:t>3</m:t>
            </m:r>
          </m:sub>
        </m:sSub>
      </m:oMath>
      <w:r w:rsidR="00984C8D" w:rsidRPr="00DF6E13">
        <w:rPr>
          <w:rFonts w:eastAsiaTheme="minorEastAsia"/>
        </w:rPr>
        <w:t xml:space="preserve"> = 0 </w:t>
      </w:r>
      <w:r w:rsidR="00984C8D">
        <w:rPr>
          <w:rFonts w:eastAsiaTheme="minorEastAsia"/>
        </w:rPr>
        <w:t>and</w:t>
      </w:r>
      <w:r w:rsidR="00984C8D" w:rsidRPr="00DF6E1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oMath>
      <w:r w:rsidR="00984C8D" w:rsidRPr="00503643">
        <w:rPr>
          <w:rFonts w:eastAsiaTheme="minorEastAsia"/>
        </w:rPr>
        <w:tab/>
      </w:r>
      <w:r w:rsidR="00984C8D" w:rsidRPr="00503643">
        <w:rPr>
          <w:rFonts w:eastAsiaTheme="minorEastAsia"/>
        </w:rPr>
        <w:tab/>
      </w:r>
      <w:r w:rsidR="00984C8D" w:rsidRPr="00503643">
        <w:rPr>
          <w:rFonts w:eastAsiaTheme="minorEastAsia"/>
        </w:rPr>
        <w:tab/>
      </w:r>
      <w:r w:rsidR="00984C8D" w:rsidRPr="00503643">
        <w:rPr>
          <w:rFonts w:eastAsiaTheme="minorEastAsia"/>
        </w:rPr>
        <w:tab/>
      </w:r>
      <w:r w:rsidR="00984C8D" w:rsidRPr="00503643">
        <w:rPr>
          <w:rFonts w:eastAsiaTheme="minorEastAsia"/>
        </w:rPr>
        <w:tab/>
      </w:r>
      <w:r w:rsidR="00984C8D" w:rsidRPr="00503643">
        <w:rPr>
          <w:rFonts w:eastAsiaTheme="minorEastAsia"/>
        </w:rPr>
        <w:tab/>
      </w:r>
      <w:r w:rsidR="00984C8D" w:rsidRPr="00503643">
        <w:rPr>
          <w:rFonts w:eastAsiaTheme="minorEastAsia"/>
        </w:rPr>
        <w:tab/>
      </w:r>
      <w:r w:rsidR="00984C8D" w:rsidRPr="00503643">
        <w:rPr>
          <w:rFonts w:eastAsiaTheme="minorEastAsia"/>
        </w:rPr>
        <w:tab/>
      </w:r>
      <w:r w:rsidR="00984C8D">
        <w:rPr>
          <w:rFonts w:eastAsiaTheme="minorEastAsia"/>
        </w:rPr>
        <w:tab/>
      </w:r>
      <w:r w:rsidR="00984C8D" w:rsidRPr="00503643">
        <w:rPr>
          <w:rFonts w:eastAsiaTheme="minorEastAsia"/>
        </w:rPr>
        <w:tab/>
        <w:t>(</w:t>
      </w:r>
      <w:r w:rsidR="001A0248">
        <w:rPr>
          <w:rFonts w:eastAsiaTheme="minorEastAsia"/>
        </w:rPr>
        <w:t>25</w:t>
      </w:r>
      <w:r w:rsidR="00984C8D" w:rsidRPr="00503643">
        <w:rPr>
          <w:rFonts w:eastAsiaTheme="minorEastAsia"/>
        </w:rPr>
        <w:t>)</w:t>
      </w:r>
    </w:p>
    <w:p w14:paraId="14FD1FD8" w14:textId="5CEE53D9" w:rsidR="00984C8D" w:rsidRDefault="00000000" w:rsidP="00984C8D">
      <w:pPr>
        <w:pStyle w:val="SSRNnormal"/>
        <w:rPr>
          <w:rFonts w:eastAsiaTheme="minorEastAsia"/>
        </w:rPr>
      </w:pP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 xml:space="preserve"> ≥0</m:t>
        </m:r>
      </m:oMath>
      <w:r w:rsidR="00984C8D" w:rsidRPr="00503643">
        <w:rPr>
          <w:rFonts w:eastAsiaTheme="minorEastAsia"/>
        </w:rPr>
        <w:t>,</w:t>
      </w:r>
      <w:r w:rsidR="00984C8D">
        <w:rPr>
          <w:rFonts w:eastAsiaTheme="minorEastAsia"/>
        </w:rPr>
        <w:t xml:space="preserve"> where</w:t>
      </w:r>
      <w:r w:rsidR="00984C8D" w:rsidRPr="00503643">
        <w:rPr>
          <w:rFonts w:eastAsiaTheme="minorEastAsia"/>
        </w:rPr>
        <w:t xml:space="preserve"> </w:t>
      </w:r>
      <w:proofErr w:type="spellStart"/>
      <w:r w:rsidR="00984C8D">
        <w:rPr>
          <w:rFonts w:eastAsiaTheme="minorEastAsia"/>
        </w:rPr>
        <w:t>i</w:t>
      </w:r>
      <w:proofErr w:type="spellEnd"/>
      <w:r w:rsidR="00984C8D" w:rsidRPr="00503643">
        <w:rPr>
          <w:rFonts w:eastAsiaTheme="minorEastAsia"/>
        </w:rPr>
        <w:t xml:space="preserve">=1,2 </w:t>
      </w:r>
      <w:r w:rsidR="00984C8D" w:rsidRPr="00503643">
        <w:rPr>
          <w:rFonts w:eastAsiaTheme="minorEastAsia"/>
        </w:rPr>
        <w:tab/>
      </w:r>
    </w:p>
    <w:p w14:paraId="4DBB5EFC" w14:textId="41D15A39" w:rsidR="00984C8D" w:rsidRPr="00503643" w:rsidRDefault="00984C8D" w:rsidP="00984C8D">
      <w:pPr>
        <w:pStyle w:val="SSRNnormal"/>
        <w:rPr>
          <w:rFonts w:eastAsiaTheme="minorEastAsia"/>
        </w:rPr>
      </w:pPr>
      <w:r>
        <w:rPr>
          <w:rFonts w:eastAsiaTheme="minorEastAsia"/>
        </w:rPr>
        <w:t>In the prior equations the</w:t>
      </w:r>
      <m:oMath>
        <m:sSub>
          <m:sSubPr>
            <m:ctrlPr>
              <w:rPr>
                <w:rFonts w:ascii="Cambria Math" w:eastAsiaTheme="minorEastAsia" w:hAnsi="Cambria Math"/>
                <w:i/>
                <w:lang w:val="el-GR"/>
              </w:rPr>
            </m:ctrlPr>
          </m:sSubPr>
          <m:e>
            <m:r>
              <w:rPr>
                <w:rFonts w:ascii="Cambria Math" w:eastAsiaTheme="minorEastAsia" w:hAnsi="Cambria Math"/>
              </w:rPr>
              <m:t xml:space="preserve"> </m:t>
            </m:r>
            <m:r>
              <w:rPr>
                <w:rFonts w:ascii="Cambria Math" w:eastAsiaTheme="minorEastAsia" w:hAnsi="Cambria Math"/>
                <w:lang w:val="el-GR"/>
              </w:rPr>
              <m:t>c</m:t>
            </m:r>
          </m:e>
          <m:sub>
            <m:r>
              <w:rPr>
                <w:rFonts w:ascii="Cambria Math" w:eastAsiaTheme="minorEastAsia" w:hAnsi="Cambria Math"/>
                <w:lang w:val="el-GR"/>
              </w:rPr>
              <m:t>a</m:t>
            </m:r>
            <m:r>
              <w:rPr>
                <w:rFonts w:ascii="Cambria Math" w:eastAsiaTheme="minorEastAsia" w:hAnsi="Cambria Math"/>
              </w:rPr>
              <m:t>0</m:t>
            </m:r>
          </m:sub>
        </m:sSub>
      </m:oMath>
      <w:r>
        <w:rPr>
          <w:rFonts w:eastAsiaTheme="minorEastAsia"/>
        </w:rPr>
        <w:t xml:space="preserve"> and the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m0</m:t>
            </m:r>
          </m:sub>
        </m:sSub>
      </m:oMath>
      <w:r>
        <w:rPr>
          <w:rFonts w:eastAsiaTheme="minorEastAsia"/>
        </w:rPr>
        <w:t xml:space="preserve"> are accordingly the initial values of the velocity of </w:t>
      </w:r>
      <w:r w:rsidR="001A0248">
        <w:rPr>
          <w:rFonts w:eastAsiaTheme="minorEastAsia"/>
        </w:rPr>
        <w:t>escape</w:t>
      </w:r>
      <w:r>
        <w:rPr>
          <w:rFonts w:eastAsiaTheme="minorEastAsia"/>
        </w:rPr>
        <w:t xml:space="preserve"> savings and the cycle of money. </w:t>
      </w:r>
      <w:r w:rsidR="008F2E95">
        <w:rPr>
          <w:rFonts w:eastAsiaTheme="minorEastAsia"/>
        </w:rPr>
        <w:t>Moreover,</w:t>
      </w:r>
      <w:r>
        <w:rPr>
          <w:rFonts w:eastAsiaTheme="minorEastAsia"/>
        </w:rPr>
        <w:t xml:space="preserve"> the equation of</w:t>
      </w:r>
      <m:oMath>
        <m:sSub>
          <m:sSubPr>
            <m:ctrlPr>
              <w:rPr>
                <w:rFonts w:ascii="Cambria Math" w:eastAsiaTheme="minorEastAsia" w:hAnsi="Cambria Math"/>
                <w:i/>
              </w:rPr>
            </m:ctrlPr>
          </m:sSubPr>
          <m:e>
            <m:r>
              <w:rPr>
                <w:rFonts w:ascii="Cambria Math" w:eastAsiaTheme="minorEastAsia" w:hAnsi="Cambria Math"/>
              </w:rPr>
              <m:t xml:space="preserve"> c</m:t>
            </m:r>
          </m:e>
          <m:sub>
            <m:r>
              <w:rPr>
                <w:rFonts w:ascii="Cambria Math" w:eastAsiaTheme="minorEastAsia" w:hAnsi="Cambria Math"/>
              </w:rPr>
              <m:t>yα</m:t>
            </m:r>
          </m:sub>
        </m:sSub>
      </m:oMath>
      <w:r>
        <w:rPr>
          <w:rFonts w:eastAsiaTheme="minorEastAsia"/>
        </w:rPr>
        <w:t xml:space="preserve"> represents the general equation of the </w:t>
      </w:r>
      <w:r w:rsidR="001A0248">
        <w:rPr>
          <w:rFonts w:eastAsiaTheme="minorEastAsia"/>
        </w:rPr>
        <w:t>escape</w:t>
      </w:r>
      <w:r>
        <w:rPr>
          <w:rFonts w:eastAsiaTheme="minorEastAsia"/>
        </w:rPr>
        <w:t xml:space="preserve"> savings:</w:t>
      </w:r>
    </w:p>
    <w:p w14:paraId="2837C842" w14:textId="6359AD63" w:rsidR="00984C8D" w:rsidRPr="00DF6E13" w:rsidRDefault="00000000" w:rsidP="00984C8D">
      <w:pPr>
        <w:pStyle w:val="SSRNnormal"/>
        <w:rPr>
          <w:rFonts w:eastAsiaTheme="minorEastAsia"/>
        </w:rPr>
      </w:pP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ym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4</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m:t>
            </m:r>
            <m:sSub>
              <m:sSubPr>
                <m:ctrlPr>
                  <w:rPr>
                    <w:rFonts w:ascii="Cambria Math" w:eastAsiaTheme="minorEastAsia" w:hAnsi="Cambria Math"/>
                    <w:i/>
                    <w:lang w:val="el-GR"/>
                  </w:rPr>
                </m:ctrlPr>
              </m:sSubPr>
              <m:e>
                <m:r>
                  <w:rPr>
                    <w:rFonts w:ascii="Cambria Math" w:eastAsiaTheme="minorEastAsia" w:hAnsi="Cambria Math"/>
                  </w:rPr>
                  <m:t>c</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lang w:val="el-GR"/>
                  </w:rPr>
                </m:ctrlPr>
              </m:sSubPr>
              <m:e>
                <m:r>
                  <w:rPr>
                    <w:rFonts w:ascii="Cambria Math" w:eastAsiaTheme="minorEastAsia" w:hAnsi="Cambria Math"/>
                  </w:rPr>
                  <m:t>c</m:t>
                </m:r>
              </m:e>
              <m:sub>
                <m:r>
                  <w:rPr>
                    <w:rFonts w:ascii="Cambria Math" w:eastAsiaTheme="minorEastAsia" w:hAnsi="Cambria Math"/>
                    <w:lang w:val="el-GR"/>
                  </w:rPr>
                  <m:t>m</m:t>
                </m:r>
                <m:r>
                  <w:rPr>
                    <w:rFonts w:ascii="Cambria Math" w:eastAsiaTheme="minorEastAsia" w:hAnsi="Cambria Math"/>
                  </w:rPr>
                  <m:t>0</m:t>
                </m:r>
              </m:sub>
            </m:sSub>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ym0</m:t>
            </m:r>
          </m:sub>
        </m:sSub>
      </m:oMath>
      <w:r w:rsidR="00984C8D" w:rsidRPr="00DF6E13">
        <w:rPr>
          <w:rFonts w:eastAsiaTheme="minorEastAsia"/>
        </w:rPr>
        <w:t xml:space="preserve">] </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5</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lang w:val="el-GR"/>
                  </w:rPr>
                </m:ctrlPr>
              </m:sSubPr>
              <m:e>
                <m:r>
                  <w:rPr>
                    <w:rFonts w:ascii="Cambria Math" w:eastAsiaTheme="minorEastAsia" w:hAnsi="Cambria Math"/>
                  </w:rPr>
                  <m:t>c</m:t>
                </m:r>
              </m:e>
              <m:sub>
                <m:r>
                  <w:rPr>
                    <w:rFonts w:ascii="Cambria Math" w:eastAsiaTheme="minorEastAsia" w:hAnsi="Cambria Math"/>
                    <w:lang w:val="el-GR"/>
                  </w:rPr>
                  <m:t>m</m:t>
                </m:r>
              </m:sub>
            </m:sSub>
          </m:den>
        </m:f>
        <m:r>
          <w:rPr>
            <w:rFonts w:ascii="Cambria Math" w:eastAsiaTheme="minorEastAsia" w:hAnsi="Cambria Math"/>
          </w:rPr>
          <m:t xml:space="preserve"> </m:t>
        </m:r>
      </m:oMath>
      <w:r w:rsidR="00984C8D" w:rsidRPr="00DF6E13">
        <w:rPr>
          <w:rFonts w:eastAsiaTheme="minorEastAsia"/>
        </w:rPr>
        <w:t xml:space="preserve">)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b</m:t>
            </m:r>
          </m:e>
          <m:sub>
            <m:r>
              <w:rPr>
                <w:rFonts w:ascii="Cambria Math" w:eastAsiaTheme="minorEastAsia" w:hAnsi="Cambria Math"/>
              </w:rPr>
              <m:t>6</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 xml:space="preserve">ln </m:t>
            </m:r>
            <m:sSub>
              <m:sSubPr>
                <m:ctrlPr>
                  <w:rPr>
                    <w:rFonts w:ascii="Cambria Math" w:eastAsiaTheme="minorEastAsia" w:hAnsi="Cambria Math"/>
                    <w:i/>
                    <w:lang w:val="el-GR"/>
                  </w:rPr>
                </m:ctrlPr>
              </m:sSubPr>
              <m:e>
                <m:r>
                  <w:rPr>
                    <w:rFonts w:ascii="Cambria Math" w:eastAsiaTheme="minorEastAsia" w:hAnsi="Cambria Math"/>
                  </w:rPr>
                  <m:t>c</m:t>
                </m:r>
              </m:e>
              <m:sub>
                <m:r>
                  <w:rPr>
                    <w:rFonts w:ascii="Cambria Math" w:eastAsiaTheme="minorEastAsia" w:hAnsi="Cambria Math"/>
                    <w:lang w:val="el-GR"/>
                  </w:rPr>
                  <m:t>m</m:t>
                </m:r>
              </m:sub>
            </m:sSub>
          </m:den>
        </m:f>
        <m:r>
          <w:rPr>
            <w:rFonts w:ascii="Cambria Math" w:eastAsiaTheme="minorEastAsia" w:hAnsi="Cambria Math"/>
          </w:rPr>
          <m:t>)</m:t>
        </m:r>
      </m:oMath>
      <w:r w:rsidR="00984C8D" w:rsidRPr="00DF6E13">
        <w:rPr>
          <w:rFonts w:eastAsiaTheme="minorEastAsia"/>
        </w:rPr>
        <w:tab/>
      </w:r>
      <w:r w:rsidR="00984C8D" w:rsidRPr="00DF6E13">
        <w:rPr>
          <w:rFonts w:eastAsiaTheme="minorEastAsia"/>
        </w:rPr>
        <w:tab/>
      </w:r>
      <w:r w:rsidR="00984C8D" w:rsidRPr="00DF6E13">
        <w:rPr>
          <w:rFonts w:eastAsiaTheme="minorEastAsia"/>
        </w:rPr>
        <w:tab/>
      </w:r>
      <w:r w:rsidR="00984C8D">
        <w:rPr>
          <w:rFonts w:eastAsiaTheme="minorEastAsia"/>
        </w:rPr>
        <w:tab/>
      </w:r>
      <w:r w:rsidR="00984C8D" w:rsidRPr="00DF6E13">
        <w:rPr>
          <w:rFonts w:eastAsiaTheme="minorEastAsia"/>
        </w:rPr>
        <w:tab/>
        <w:t>(</w:t>
      </w:r>
      <w:r w:rsidR="001A0248">
        <w:rPr>
          <w:rFonts w:eastAsiaTheme="minorEastAsia"/>
        </w:rPr>
        <w:t>26</w:t>
      </w:r>
      <w:r w:rsidR="00984C8D" w:rsidRPr="00DF6E13">
        <w:rPr>
          <w:rFonts w:eastAsiaTheme="minorEastAsia"/>
        </w:rPr>
        <w:t>)</w:t>
      </w:r>
    </w:p>
    <w:p w14:paraId="7F0A563A" w14:textId="04A9BF72" w:rsidR="00984C8D" w:rsidRPr="00503643" w:rsidRDefault="00000000" w:rsidP="00984C8D">
      <w:pPr>
        <w:pStyle w:val="SSRNnormal"/>
        <w:rPr>
          <w:rFonts w:eastAsiaTheme="minorEastAsia"/>
        </w:rPr>
      </w:pP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4</m:t>
            </m:r>
          </m:sub>
        </m:sSub>
        <m:r>
          <w:rPr>
            <w:rFonts w:ascii="Cambria Math" w:eastAsiaTheme="minorEastAsia" w:hAnsi="Cambria Math"/>
          </w:rPr>
          <m:t>,</m:t>
        </m:r>
      </m:oMath>
      <w:r w:rsidR="00984C8D" w:rsidRPr="0050364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5</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 b</m:t>
            </m:r>
          </m:e>
          <m:sub>
            <m:r>
              <w:rPr>
                <w:rFonts w:ascii="Cambria Math" w:eastAsiaTheme="minorEastAsia" w:hAnsi="Cambria Math"/>
              </w:rPr>
              <m:t>6</m:t>
            </m:r>
          </m:sub>
        </m:sSub>
      </m:oMath>
      <w:r w:rsidR="00984C8D" w:rsidRPr="00503643">
        <w:rPr>
          <w:rFonts w:eastAsiaTheme="minorEastAsia"/>
        </w:rPr>
        <w:t xml:space="preserve"> = 0</w:t>
      </w:r>
      <w:r w:rsidR="00984C8D">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oMath>
      <w:r w:rsidR="00984C8D" w:rsidRPr="00503643">
        <w:rPr>
          <w:rFonts w:eastAsiaTheme="minorEastAsia"/>
        </w:rPr>
        <w:tab/>
      </w:r>
      <w:r w:rsidR="00984C8D" w:rsidRPr="00503643">
        <w:rPr>
          <w:rFonts w:eastAsiaTheme="minorEastAsia"/>
        </w:rPr>
        <w:tab/>
      </w:r>
      <w:r w:rsidR="00984C8D" w:rsidRPr="00503643">
        <w:rPr>
          <w:rFonts w:eastAsiaTheme="minorEastAsia"/>
        </w:rPr>
        <w:tab/>
      </w:r>
      <w:r w:rsidR="00984C8D" w:rsidRPr="00503643">
        <w:rPr>
          <w:rFonts w:eastAsiaTheme="minorEastAsia"/>
        </w:rPr>
        <w:tab/>
      </w:r>
      <w:r w:rsidR="00984C8D" w:rsidRPr="00503643">
        <w:rPr>
          <w:rFonts w:eastAsiaTheme="minorEastAsia"/>
        </w:rPr>
        <w:tab/>
      </w:r>
      <w:r w:rsidR="00984C8D" w:rsidRPr="00503643">
        <w:rPr>
          <w:rFonts w:eastAsiaTheme="minorEastAsia"/>
        </w:rPr>
        <w:tab/>
      </w:r>
      <w:r w:rsidR="00984C8D" w:rsidRPr="00503643">
        <w:rPr>
          <w:rFonts w:eastAsiaTheme="minorEastAsia"/>
        </w:rPr>
        <w:tab/>
      </w:r>
      <w:r w:rsidR="00984C8D" w:rsidRPr="00503643">
        <w:rPr>
          <w:rFonts w:eastAsiaTheme="minorEastAsia"/>
        </w:rPr>
        <w:tab/>
      </w:r>
      <w:r w:rsidR="00984C8D">
        <w:rPr>
          <w:rFonts w:eastAsiaTheme="minorEastAsia"/>
        </w:rPr>
        <w:tab/>
      </w:r>
      <w:r w:rsidR="00984C8D" w:rsidRPr="00503643">
        <w:rPr>
          <w:rFonts w:eastAsiaTheme="minorEastAsia"/>
        </w:rPr>
        <w:tab/>
        <w:t>(</w:t>
      </w:r>
      <w:r w:rsidR="001A0248">
        <w:rPr>
          <w:rFonts w:eastAsiaTheme="minorEastAsia"/>
        </w:rPr>
        <w:t>27</w:t>
      </w:r>
      <w:r w:rsidR="00984C8D" w:rsidRPr="00503643">
        <w:rPr>
          <w:rFonts w:eastAsiaTheme="minorEastAsia"/>
        </w:rPr>
        <w:t>)</w:t>
      </w:r>
    </w:p>
    <w:p w14:paraId="4A9AEF7F" w14:textId="6FF163C9" w:rsidR="00984C8D" w:rsidRDefault="00000000" w:rsidP="00984C8D">
      <w:pPr>
        <w:pStyle w:val="SSRNnormal"/>
        <w:rPr>
          <w:rFonts w:eastAsiaTheme="minorEastAsia"/>
        </w:rPr>
      </w:pP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 xml:space="preserve"> ≥0</m:t>
        </m:r>
      </m:oMath>
      <w:r w:rsidR="00984C8D" w:rsidRPr="00503643">
        <w:rPr>
          <w:rFonts w:eastAsiaTheme="minorEastAsia"/>
        </w:rPr>
        <w:tab/>
        <w:t>,</w:t>
      </w:r>
      <w:r w:rsidR="00984C8D">
        <w:rPr>
          <w:rFonts w:eastAsiaTheme="minorEastAsia"/>
        </w:rPr>
        <w:t xml:space="preserve"> where</w:t>
      </w:r>
      <w:r w:rsidR="00984C8D" w:rsidRPr="00503643">
        <w:rPr>
          <w:rFonts w:eastAsiaTheme="minorEastAsia"/>
        </w:rPr>
        <w:t xml:space="preserve"> </w:t>
      </w:r>
      <w:r w:rsidR="00984C8D">
        <w:rPr>
          <w:rFonts w:eastAsiaTheme="minorEastAsia"/>
        </w:rPr>
        <w:t>i</w:t>
      </w:r>
      <w:r w:rsidR="00984C8D" w:rsidRPr="00503643">
        <w:rPr>
          <w:rFonts w:eastAsiaTheme="minorEastAsia"/>
        </w:rPr>
        <w:t xml:space="preserve">=1,2 </w:t>
      </w:r>
      <w:r w:rsidR="00984C8D" w:rsidRPr="00503643">
        <w:rPr>
          <w:rFonts w:eastAsiaTheme="minorEastAsia"/>
        </w:rPr>
        <w:tab/>
      </w:r>
      <w:r w:rsidR="00984C8D" w:rsidRPr="00503643">
        <w:rPr>
          <w:rFonts w:eastAsiaTheme="minorEastAsia"/>
        </w:rPr>
        <w:tab/>
      </w:r>
      <w:r w:rsidR="00984C8D" w:rsidRPr="00503643">
        <w:rPr>
          <w:rFonts w:eastAsiaTheme="minorEastAsia"/>
        </w:rPr>
        <w:tab/>
      </w:r>
      <w:r w:rsidR="00984C8D" w:rsidRPr="00503643">
        <w:rPr>
          <w:rFonts w:eastAsiaTheme="minorEastAsia"/>
        </w:rPr>
        <w:tab/>
      </w:r>
      <w:r w:rsidR="00984C8D" w:rsidRPr="00503643">
        <w:rPr>
          <w:rFonts w:eastAsiaTheme="minorEastAsia"/>
        </w:rPr>
        <w:tab/>
      </w:r>
      <w:r w:rsidR="00984C8D" w:rsidRPr="00503643">
        <w:rPr>
          <w:rFonts w:eastAsiaTheme="minorEastAsia"/>
        </w:rPr>
        <w:tab/>
      </w:r>
      <w:r w:rsidR="00984C8D" w:rsidRPr="00503643">
        <w:rPr>
          <w:rFonts w:eastAsiaTheme="minorEastAsia"/>
        </w:rPr>
        <w:tab/>
      </w:r>
      <w:r w:rsidR="00984C8D">
        <w:rPr>
          <w:rFonts w:eastAsiaTheme="minorEastAsia"/>
        </w:rPr>
        <w:tab/>
      </w:r>
      <w:r w:rsidR="00984C8D" w:rsidRPr="00503643">
        <w:rPr>
          <w:rFonts w:eastAsiaTheme="minorEastAsia"/>
        </w:rPr>
        <w:tab/>
      </w:r>
      <w:r w:rsidR="00984C8D" w:rsidRPr="00503643">
        <w:rPr>
          <w:rFonts w:eastAsiaTheme="minorEastAsia"/>
        </w:rPr>
        <w:tab/>
        <w:t>(</w:t>
      </w:r>
      <w:r w:rsidR="001A0248">
        <w:rPr>
          <w:rFonts w:eastAsiaTheme="minorEastAsia"/>
        </w:rPr>
        <w:t>28</w:t>
      </w:r>
      <w:r w:rsidR="00984C8D" w:rsidRPr="00503643">
        <w:rPr>
          <w:rFonts w:eastAsiaTheme="minorEastAsia"/>
        </w:rPr>
        <w:t>)</w:t>
      </w:r>
    </w:p>
    <w:p w14:paraId="34E2C1DD" w14:textId="5BE80751" w:rsidR="00984C8D" w:rsidRDefault="001A0248" w:rsidP="00984C8D">
      <w:pPr>
        <w:pStyle w:val="SSRNnormal"/>
        <w:rPr>
          <w:rFonts w:eastAsiaTheme="minorEastAsia"/>
        </w:rPr>
      </w:pPr>
      <w:r>
        <w:rPr>
          <w:rFonts w:eastAsiaTheme="minorEastAsia"/>
        </w:rPr>
        <w:t>Eq.</w:t>
      </w:r>
      <w:r w:rsidR="00984C8D">
        <w:rPr>
          <w:rFonts w:eastAsiaTheme="minorEastAsia"/>
        </w:rPr>
        <w:t xml:space="preserve"> (</w:t>
      </w:r>
      <w:r>
        <w:rPr>
          <w:rFonts w:eastAsiaTheme="minorEastAsia"/>
        </w:rPr>
        <w:t>26</w:t>
      </w:r>
      <w:r w:rsidR="00984C8D">
        <w:rPr>
          <w:rFonts w:eastAsiaTheme="minorEastAsia"/>
        </w:rPr>
        <w:t xml:space="preserve">) </w:t>
      </w:r>
      <w:r w:rsidR="002164D5">
        <w:rPr>
          <w:rFonts w:eastAsiaTheme="minorEastAsia"/>
        </w:rPr>
        <w:t>is about</w:t>
      </w:r>
      <w:r w:rsidR="00984C8D">
        <w:rPr>
          <w:rFonts w:eastAsiaTheme="minorEastAsia"/>
        </w:rPr>
        <w:t xml:space="preserve"> the general form of the velocity of </w:t>
      </w:r>
      <w:r>
        <w:rPr>
          <w:rFonts w:eastAsiaTheme="minorEastAsia"/>
        </w:rPr>
        <w:t xml:space="preserve">the </w:t>
      </w:r>
      <w:r w:rsidR="00984C8D">
        <w:rPr>
          <w:rFonts w:eastAsiaTheme="minorEastAsia"/>
        </w:rPr>
        <w:t xml:space="preserve">cycle of money. The coefficients of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m:t>
        </m:r>
      </m:oMath>
      <w:r w:rsidR="00984C8D" w:rsidRPr="006329AD">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 b</m:t>
            </m:r>
          </m:e>
          <m:sub>
            <m:r>
              <w:rPr>
                <w:rFonts w:ascii="Cambria Math" w:eastAsiaTheme="minorEastAsia" w:hAnsi="Cambria Math"/>
              </w:rPr>
              <m:t>3</m:t>
            </m:r>
          </m:sub>
        </m:sSub>
      </m:oMath>
      <w:r w:rsidR="00984C8D">
        <w:rPr>
          <w:rFonts w:eastAsiaTheme="minorEastAsia"/>
        </w:rPr>
        <w:t xml:space="preserve"> took two of them one constant value</w:t>
      </w:r>
      <m:oMath>
        <m:sSub>
          <m:sSubPr>
            <m:ctrlPr>
              <w:rPr>
                <w:rFonts w:ascii="Cambria Math" w:eastAsiaTheme="minorEastAsia" w:hAnsi="Cambria Math"/>
                <w:i/>
              </w:rPr>
            </m:ctrlPr>
          </m:sSubPr>
          <m:e>
            <m:r>
              <w:rPr>
                <w:rFonts w:ascii="Cambria Math" w:eastAsiaTheme="minorEastAsia" w:hAnsi="Cambria Math"/>
              </w:rPr>
              <m:t xml:space="preserve"> x</m:t>
            </m:r>
          </m:e>
          <m:sub>
            <m:r>
              <w:rPr>
                <w:rFonts w:ascii="Cambria Math" w:eastAsiaTheme="minorEastAsia" w:hAnsi="Cambria Math"/>
              </w:rPr>
              <m:t>i</m:t>
            </m:r>
          </m:sub>
        </m:sSub>
      </m:oMath>
      <w:r w:rsidR="00984C8D">
        <w:rPr>
          <w:rFonts w:eastAsiaTheme="minorEastAsia"/>
        </w:rPr>
        <w:t xml:space="preserve">, and the other one </w:t>
      </w:r>
      <w:r>
        <w:rPr>
          <w:rFonts w:eastAsiaTheme="minorEastAsia"/>
        </w:rPr>
        <w:t xml:space="preserve">is </w:t>
      </w:r>
      <w:r w:rsidR="00984C8D">
        <w:rPr>
          <w:rFonts w:eastAsiaTheme="minorEastAsia"/>
        </w:rPr>
        <w:t xml:space="preserve">zero. The same happens with the coefficients of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4</m:t>
            </m:r>
          </m:sub>
        </m:sSub>
        <m:r>
          <w:rPr>
            <w:rFonts w:ascii="Cambria Math" w:eastAsiaTheme="minorEastAsia" w:hAnsi="Cambria Math"/>
          </w:rPr>
          <m:t>,</m:t>
        </m:r>
      </m:oMath>
      <w:r w:rsidR="00984C8D" w:rsidRPr="0050364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5</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 b</m:t>
            </m:r>
          </m:e>
          <m:sub>
            <m:r>
              <w:rPr>
                <w:rFonts w:ascii="Cambria Math" w:eastAsiaTheme="minorEastAsia" w:hAnsi="Cambria Math"/>
              </w:rPr>
              <m:t>6</m:t>
            </m:r>
          </m:sub>
        </m:sSub>
      </m:oMath>
      <w:r w:rsidR="00984C8D">
        <w:rPr>
          <w:rFonts w:eastAsiaTheme="minorEastAsia"/>
        </w:rPr>
        <w:t xml:space="preserve"> which also two of them take one constant value </w:t>
      </w:r>
      <m:oMath>
        <m:sSub>
          <m:sSubPr>
            <m:ctrlPr>
              <w:rPr>
                <w:rFonts w:ascii="Cambria Math" w:eastAsiaTheme="minorEastAsia" w:hAnsi="Cambria Math"/>
                <w:i/>
              </w:rPr>
            </m:ctrlPr>
          </m:sSubPr>
          <m:e>
            <m:r>
              <w:rPr>
                <w:rFonts w:ascii="Cambria Math" w:eastAsiaTheme="minorEastAsia" w:hAnsi="Cambria Math"/>
              </w:rPr>
              <m:t xml:space="preserve"> x</m:t>
            </m:r>
          </m:e>
          <m:sub>
            <m:r>
              <w:rPr>
                <w:rFonts w:ascii="Cambria Math" w:eastAsiaTheme="minorEastAsia" w:hAnsi="Cambria Math"/>
              </w:rPr>
              <m:t>i</m:t>
            </m:r>
          </m:sub>
        </m:sSub>
      </m:oMath>
      <w:r w:rsidR="00984C8D">
        <w:rPr>
          <w:rFonts w:eastAsiaTheme="minorEastAsia"/>
        </w:rPr>
        <w:t xml:space="preserve"> and the other one </w:t>
      </w:r>
      <w:r>
        <w:rPr>
          <w:rFonts w:eastAsiaTheme="minorEastAsia"/>
        </w:rPr>
        <w:t xml:space="preserve">is </w:t>
      </w:r>
      <w:r w:rsidR="00984C8D">
        <w:rPr>
          <w:rFonts w:eastAsiaTheme="minorEastAsia"/>
        </w:rPr>
        <w:t xml:space="preserve">zero. </w:t>
      </w:r>
      <w:r>
        <w:rPr>
          <w:rFonts w:eastAsiaTheme="minorEastAsia"/>
        </w:rPr>
        <w:t>In</w:t>
      </w:r>
      <w:r w:rsidR="00984C8D">
        <w:rPr>
          <w:rFonts w:eastAsiaTheme="minorEastAsia"/>
        </w:rPr>
        <w:t xml:space="preserve"> that way</w:t>
      </w:r>
      <w:r>
        <w:rPr>
          <w:rFonts w:eastAsiaTheme="minorEastAsia"/>
        </w:rPr>
        <w:t>,</w:t>
      </w:r>
      <w:r w:rsidR="00984C8D">
        <w:rPr>
          <w:rFonts w:eastAsiaTheme="minorEastAsia"/>
        </w:rPr>
        <w:t xml:space="preserve"> </w:t>
      </w:r>
      <w:r w:rsidR="002164D5">
        <w:rPr>
          <w:rFonts w:eastAsiaTheme="minorEastAsia"/>
        </w:rPr>
        <w:t>there are</w:t>
      </w:r>
      <w:r w:rsidR="00984C8D">
        <w:rPr>
          <w:rFonts w:eastAsiaTheme="minorEastAsia"/>
        </w:rPr>
        <w:t xml:space="preserve"> all the possible combinations of velocities of </w:t>
      </w:r>
      <w:r>
        <w:rPr>
          <w:rFonts w:eastAsiaTheme="minorEastAsia"/>
        </w:rPr>
        <w:t>escape</w:t>
      </w:r>
      <w:r w:rsidR="00984C8D">
        <w:rPr>
          <w:rFonts w:eastAsiaTheme="minorEastAsia"/>
        </w:rPr>
        <w:t xml:space="preserve"> savings and financial liquidities to be defined by two concrete equations.</w:t>
      </w:r>
    </w:p>
    <w:p w14:paraId="1551F770" w14:textId="3AE78DDE" w:rsidR="00565B55" w:rsidRPr="00565B55" w:rsidRDefault="00000000" w:rsidP="00565B55">
      <w:pPr>
        <w:spacing w:line="360" w:lineRule="auto"/>
        <w:rPr>
          <w:rFonts w:eastAsiaTheme="minorEastAsia"/>
        </w:rPr>
      </w:pP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yα</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3</m:t>
            </m:r>
          </m:sub>
        </m:sSub>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ln</m:t>
            </m:r>
            <m:sSub>
              <m:sSubPr>
                <m:ctrlPr>
                  <w:rPr>
                    <w:rFonts w:ascii="Cambria Math" w:eastAsiaTheme="minorEastAsia" w:hAnsi="Cambria Math"/>
                    <w:i/>
                    <w:lang w:val="el-GR"/>
                  </w:rPr>
                </m:ctrlPr>
              </m:sSubPr>
              <m:e>
                <m:r>
                  <w:rPr>
                    <w:rFonts w:ascii="Cambria Math" w:eastAsiaTheme="minorEastAsia" w:hAnsi="Cambria Math"/>
                  </w:rPr>
                  <m:t>c</m:t>
                </m:r>
              </m:e>
              <m:sub>
                <m:r>
                  <w:rPr>
                    <w:rFonts w:ascii="Cambria Math" w:eastAsiaTheme="minorEastAsia" w:hAnsi="Cambria Math"/>
                    <w:lang w:val="el-GR"/>
                  </w:rPr>
                  <m:t>a</m:t>
                </m:r>
              </m:sub>
            </m:sSub>
          </m:den>
        </m:f>
        <m:r>
          <w:rPr>
            <w:rFonts w:ascii="Cambria Math" w:eastAsiaTheme="minorEastAsia" w:hAnsi="Cambria Math"/>
          </w:rPr>
          <m:t xml:space="preserve"> </m:t>
        </m:r>
      </m:oMath>
      <w:r w:rsidR="00565B55" w:rsidRPr="00565B55">
        <w:rPr>
          <w:rFonts w:eastAsiaTheme="minorEastAsia"/>
        </w:rPr>
        <w:t>)</w:t>
      </w:r>
      <w:r w:rsidR="00565B55" w:rsidRPr="00565B55">
        <w:rPr>
          <w:rFonts w:eastAsiaTheme="minorEastAsia"/>
        </w:rPr>
        <w:tab/>
      </w:r>
      <w:r w:rsidR="00565B55" w:rsidRPr="00565B55">
        <w:rPr>
          <w:rFonts w:eastAsiaTheme="minorEastAsia"/>
        </w:rPr>
        <w:tab/>
      </w:r>
      <w:r w:rsidR="00565B55" w:rsidRPr="00565B55">
        <w:rPr>
          <w:rFonts w:eastAsiaTheme="minorEastAsia"/>
        </w:rPr>
        <w:tab/>
      </w:r>
      <w:r w:rsidR="00565B55" w:rsidRPr="00565B55">
        <w:rPr>
          <w:rFonts w:eastAsiaTheme="minorEastAsia"/>
        </w:rPr>
        <w:tab/>
      </w:r>
      <w:r w:rsidR="00565B55" w:rsidRPr="00565B55">
        <w:rPr>
          <w:rFonts w:eastAsiaTheme="minorEastAsia"/>
        </w:rPr>
        <w:tab/>
      </w:r>
      <w:r w:rsidR="00565B55" w:rsidRPr="00565B55">
        <w:rPr>
          <w:rFonts w:eastAsiaTheme="minorEastAsia"/>
        </w:rPr>
        <w:tab/>
      </w:r>
      <w:r w:rsidR="00565B55" w:rsidRPr="00565B55">
        <w:rPr>
          <w:rFonts w:eastAsiaTheme="minorEastAsia"/>
        </w:rPr>
        <w:tab/>
      </w:r>
      <w:r w:rsidR="00565B55" w:rsidRPr="00565B55">
        <w:rPr>
          <w:rFonts w:eastAsiaTheme="minorEastAsia"/>
        </w:rPr>
        <w:tab/>
      </w:r>
      <w:r w:rsidR="00565B55">
        <w:rPr>
          <w:rFonts w:eastAsiaTheme="minorEastAsia"/>
        </w:rPr>
        <w:tab/>
      </w:r>
      <w:r w:rsidR="00565B55" w:rsidRPr="00565B55">
        <w:rPr>
          <w:rFonts w:eastAsiaTheme="minorEastAsia"/>
        </w:rPr>
        <w:tab/>
        <w:t>(</w:t>
      </w:r>
      <w:r w:rsidR="001A0248">
        <w:rPr>
          <w:rFonts w:eastAsiaTheme="minorEastAsia"/>
        </w:rPr>
        <w:t>29</w:t>
      </w:r>
      <w:r w:rsidR="00565B55" w:rsidRPr="00565B55">
        <w:rPr>
          <w:rFonts w:eastAsiaTheme="minorEastAsia"/>
        </w:rPr>
        <w:t>)</w:t>
      </w:r>
    </w:p>
    <w:p w14:paraId="048E3824" w14:textId="28263226" w:rsidR="00565B55" w:rsidRPr="00565B55" w:rsidRDefault="00000000" w:rsidP="00565B55">
      <w:pPr>
        <w:spacing w:line="360" w:lineRule="auto"/>
        <w:rPr>
          <w:rFonts w:eastAsiaTheme="minorEastAsia"/>
        </w:rPr>
      </w:pP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ym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5</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lang w:val="el-GR"/>
                  </w:rPr>
                </m:ctrlPr>
              </m:sSubPr>
              <m:e>
                <m:r>
                  <w:rPr>
                    <w:rFonts w:ascii="Cambria Math" w:eastAsiaTheme="minorEastAsia" w:hAnsi="Cambria Math"/>
                  </w:rPr>
                  <m:t>c</m:t>
                </m:r>
              </m:e>
              <m:sub>
                <m:r>
                  <w:rPr>
                    <w:rFonts w:ascii="Cambria Math" w:eastAsiaTheme="minorEastAsia" w:hAnsi="Cambria Math"/>
                    <w:lang w:val="el-GR"/>
                  </w:rPr>
                  <m:t>m</m:t>
                </m:r>
              </m:sub>
            </m:sSub>
          </m:den>
        </m:f>
        <m:r>
          <w:rPr>
            <w:rFonts w:ascii="Cambria Math" w:eastAsiaTheme="minorEastAsia" w:hAnsi="Cambria Math"/>
          </w:rPr>
          <m:t xml:space="preserve"> </m:t>
        </m:r>
      </m:oMath>
      <w:r w:rsidR="00565B55" w:rsidRPr="00565B55">
        <w:rPr>
          <w:rFonts w:eastAsiaTheme="minorEastAsia"/>
        </w:rPr>
        <w:t xml:space="preserve">) </w:t>
      </w:r>
      <w:r w:rsidR="00565B55" w:rsidRPr="00565B55">
        <w:rPr>
          <w:rFonts w:eastAsiaTheme="minorEastAsia"/>
        </w:rPr>
        <w:tab/>
      </w:r>
      <w:r w:rsidR="00565B55" w:rsidRPr="00565B55">
        <w:rPr>
          <w:rFonts w:eastAsiaTheme="minorEastAsia"/>
        </w:rPr>
        <w:tab/>
      </w:r>
      <w:r w:rsidR="00565B55" w:rsidRPr="00565B55">
        <w:rPr>
          <w:rFonts w:eastAsiaTheme="minorEastAsia"/>
        </w:rPr>
        <w:tab/>
      </w:r>
      <w:r w:rsidR="00565B55" w:rsidRPr="00565B55">
        <w:rPr>
          <w:rFonts w:eastAsiaTheme="minorEastAsia"/>
        </w:rPr>
        <w:tab/>
      </w:r>
      <w:r w:rsidR="00565B55" w:rsidRPr="00565B55">
        <w:rPr>
          <w:rFonts w:eastAsiaTheme="minorEastAsia"/>
        </w:rPr>
        <w:tab/>
      </w:r>
      <w:r w:rsidR="00565B55" w:rsidRPr="00565B55">
        <w:rPr>
          <w:rFonts w:eastAsiaTheme="minorEastAsia"/>
        </w:rPr>
        <w:tab/>
      </w:r>
      <w:r w:rsidR="00565B55" w:rsidRPr="00565B55">
        <w:rPr>
          <w:rFonts w:eastAsiaTheme="minorEastAsia"/>
        </w:rPr>
        <w:tab/>
      </w:r>
      <w:r w:rsidR="00565B55" w:rsidRPr="00565B55">
        <w:rPr>
          <w:rFonts w:eastAsiaTheme="minorEastAsia"/>
        </w:rPr>
        <w:tab/>
      </w:r>
      <w:r w:rsidR="00565B55">
        <w:rPr>
          <w:rFonts w:eastAsiaTheme="minorEastAsia"/>
        </w:rPr>
        <w:tab/>
      </w:r>
      <w:r w:rsidR="00565B55" w:rsidRPr="00565B55">
        <w:rPr>
          <w:rFonts w:eastAsiaTheme="minorEastAsia"/>
        </w:rPr>
        <w:tab/>
        <w:t>(</w:t>
      </w:r>
      <w:r w:rsidR="001A0248">
        <w:rPr>
          <w:rFonts w:eastAsiaTheme="minorEastAsia"/>
        </w:rPr>
        <w:t>30</w:t>
      </w:r>
      <w:r w:rsidR="00565B55" w:rsidRPr="00565B55">
        <w:rPr>
          <w:rFonts w:eastAsiaTheme="minorEastAsia"/>
        </w:rPr>
        <w:t>)</w:t>
      </w:r>
    </w:p>
    <w:p w14:paraId="5F0C763F" w14:textId="77777777" w:rsidR="00984C8D" w:rsidRDefault="00984C8D" w:rsidP="00984C8D">
      <w:pPr>
        <w:spacing w:line="360" w:lineRule="auto"/>
        <w:rPr>
          <w:rFonts w:eastAsiaTheme="minorEastAsia"/>
        </w:rPr>
      </w:pPr>
      <w:r>
        <w:rPr>
          <w:rFonts w:eastAsiaTheme="minorEastAsia"/>
        </w:rPr>
        <w:t>The table of coefficients for the cycle of money is this:</w:t>
      </w:r>
    </w:p>
    <w:tbl>
      <w:tblPr>
        <w:tblW w:w="0" w:type="auto"/>
        <w:tblBorders>
          <w:top w:val="single" w:sz="8" w:space="0" w:color="4F81BD"/>
          <w:bottom w:val="single" w:sz="8" w:space="0" w:color="4F81BD"/>
        </w:tblBorders>
        <w:tblLook w:val="0620" w:firstRow="1" w:lastRow="0" w:firstColumn="0" w:lastColumn="0" w:noHBand="1" w:noVBand="1"/>
      </w:tblPr>
      <w:tblGrid>
        <w:gridCol w:w="989"/>
        <w:gridCol w:w="910"/>
      </w:tblGrid>
      <w:tr w:rsidR="00984C8D" w:rsidRPr="005C1DC0" w14:paraId="510C2DDC" w14:textId="77777777" w:rsidTr="00984C8D">
        <w:tc>
          <w:tcPr>
            <w:tcW w:w="0" w:type="auto"/>
            <w:tcBorders>
              <w:top w:val="single" w:sz="8" w:space="0" w:color="4F81BD"/>
              <w:bottom w:val="single" w:sz="8" w:space="0" w:color="4F81BD"/>
            </w:tcBorders>
            <w:shd w:val="clear" w:color="auto" w:fill="auto"/>
          </w:tcPr>
          <w:p w14:paraId="7C213F6D" w14:textId="77777777" w:rsidR="00984C8D" w:rsidRPr="005C1DC0" w:rsidRDefault="00984C8D" w:rsidP="00984C8D">
            <w:pPr>
              <w:spacing w:after="0"/>
              <w:rPr>
                <w:rFonts w:eastAsia="Times New Roman"/>
                <w:b/>
                <w:bCs/>
                <w:lang w:eastAsia="ja-JP"/>
              </w:rPr>
            </w:pPr>
            <w:r w:rsidRPr="005C1DC0">
              <w:rPr>
                <w:rFonts w:eastAsia="Times New Roman"/>
                <w:b/>
                <w:bCs/>
                <w:lang w:eastAsia="ja-JP"/>
              </w:rPr>
              <w:t>Factors</w:t>
            </w:r>
          </w:p>
        </w:tc>
        <w:tc>
          <w:tcPr>
            <w:tcW w:w="0" w:type="auto"/>
            <w:tcBorders>
              <w:top w:val="single" w:sz="8" w:space="0" w:color="4F81BD"/>
              <w:bottom w:val="single" w:sz="8" w:space="0" w:color="4F81BD"/>
            </w:tcBorders>
            <w:shd w:val="clear" w:color="auto" w:fill="auto"/>
          </w:tcPr>
          <w:p w14:paraId="228B320F" w14:textId="77777777" w:rsidR="00984C8D" w:rsidRPr="005C1DC0" w:rsidRDefault="00984C8D" w:rsidP="00984C8D">
            <w:pPr>
              <w:spacing w:after="0"/>
              <w:rPr>
                <w:rFonts w:eastAsia="Times New Roman"/>
                <w:b/>
                <w:bCs/>
                <w:lang w:eastAsia="ja-JP"/>
              </w:rPr>
            </w:pPr>
            <w:r w:rsidRPr="005C1DC0">
              <w:rPr>
                <w:rFonts w:eastAsia="Times New Roman"/>
                <w:b/>
                <w:bCs/>
                <w:lang w:eastAsia="ja-JP"/>
              </w:rPr>
              <w:t>Values</w:t>
            </w:r>
          </w:p>
        </w:tc>
      </w:tr>
      <w:tr w:rsidR="00984C8D" w:rsidRPr="005C1DC0" w14:paraId="3EB8C20E" w14:textId="77777777" w:rsidTr="00984C8D">
        <w:tc>
          <w:tcPr>
            <w:tcW w:w="0" w:type="auto"/>
            <w:shd w:val="clear" w:color="auto" w:fill="auto"/>
          </w:tcPr>
          <w:p w14:paraId="5B48248A" w14:textId="77777777" w:rsidR="00984C8D" w:rsidRPr="005C1DC0" w:rsidRDefault="00984C8D" w:rsidP="00984C8D">
            <w:pPr>
              <w:spacing w:after="0"/>
              <w:rPr>
                <w:rFonts w:eastAsia="Times New Roman"/>
                <w:vertAlign w:val="subscript"/>
                <w:lang w:eastAsia="ja-JP"/>
              </w:rPr>
            </w:pPr>
            <w:r w:rsidRPr="005C1DC0">
              <w:rPr>
                <w:rFonts w:eastAsia="Times New Roman"/>
                <w:lang w:val="el-GR" w:eastAsia="ja-JP"/>
              </w:rPr>
              <w:t>α</w:t>
            </w:r>
            <w:r w:rsidRPr="005C1DC0">
              <w:rPr>
                <w:rFonts w:eastAsia="Times New Roman"/>
                <w:vertAlign w:val="subscript"/>
                <w:lang w:eastAsia="ja-JP"/>
              </w:rPr>
              <w:t>s</w:t>
            </w:r>
          </w:p>
        </w:tc>
        <w:tc>
          <w:tcPr>
            <w:tcW w:w="0" w:type="auto"/>
            <w:shd w:val="clear" w:color="auto" w:fill="auto"/>
          </w:tcPr>
          <w:p w14:paraId="79AEB73E" w14:textId="77777777" w:rsidR="00984C8D" w:rsidRPr="005C1DC0" w:rsidRDefault="00984C8D" w:rsidP="00984C8D">
            <w:pPr>
              <w:spacing w:after="0"/>
              <w:rPr>
                <w:rFonts w:eastAsia="Times New Roman"/>
                <w:lang w:eastAsia="ja-JP"/>
              </w:rPr>
            </w:pPr>
            <w:r w:rsidRPr="005C1DC0">
              <w:rPr>
                <w:rFonts w:eastAsia="Times New Roman"/>
                <w:lang w:eastAsia="ja-JP"/>
              </w:rPr>
              <w:t>0.6</w:t>
            </w:r>
          </w:p>
        </w:tc>
      </w:tr>
      <w:tr w:rsidR="00984C8D" w:rsidRPr="005C1DC0" w14:paraId="5581E214" w14:textId="77777777" w:rsidTr="00984C8D">
        <w:tc>
          <w:tcPr>
            <w:tcW w:w="0" w:type="auto"/>
            <w:shd w:val="clear" w:color="auto" w:fill="auto"/>
          </w:tcPr>
          <w:p w14:paraId="50F968BA" w14:textId="77777777" w:rsidR="00984C8D" w:rsidRPr="005C1DC0" w:rsidRDefault="00984C8D" w:rsidP="00984C8D">
            <w:pPr>
              <w:spacing w:after="0"/>
              <w:rPr>
                <w:rFonts w:eastAsia="Times New Roman"/>
                <w:vertAlign w:val="subscript"/>
                <w:lang w:eastAsia="ja-JP"/>
              </w:rPr>
            </w:pPr>
            <w:r w:rsidRPr="005C1DC0">
              <w:rPr>
                <w:rFonts w:eastAsia="Times New Roman"/>
                <w:lang w:val="el-GR" w:eastAsia="ja-JP"/>
              </w:rPr>
              <w:t>α</w:t>
            </w:r>
            <w:r w:rsidRPr="005C1DC0">
              <w:rPr>
                <w:rFonts w:eastAsia="Times New Roman"/>
                <w:vertAlign w:val="subscript"/>
                <w:lang w:eastAsia="ja-JP"/>
              </w:rPr>
              <w:t>t</w:t>
            </w:r>
          </w:p>
        </w:tc>
        <w:tc>
          <w:tcPr>
            <w:tcW w:w="0" w:type="auto"/>
            <w:shd w:val="clear" w:color="auto" w:fill="auto"/>
          </w:tcPr>
          <w:p w14:paraId="0B339904" w14:textId="77777777" w:rsidR="00984C8D" w:rsidRPr="005C1DC0" w:rsidRDefault="00984C8D" w:rsidP="00984C8D">
            <w:pPr>
              <w:spacing w:after="0"/>
              <w:rPr>
                <w:rFonts w:eastAsia="Times New Roman"/>
                <w:lang w:eastAsia="ja-JP"/>
              </w:rPr>
            </w:pPr>
            <w:r w:rsidRPr="005C1DC0">
              <w:rPr>
                <w:rFonts w:eastAsia="Times New Roman"/>
                <w:lang w:eastAsia="ja-JP"/>
              </w:rPr>
              <w:t>0.7</w:t>
            </w:r>
          </w:p>
        </w:tc>
      </w:tr>
      <w:tr w:rsidR="00984C8D" w:rsidRPr="005C1DC0" w14:paraId="5FFB35BA" w14:textId="77777777" w:rsidTr="00984C8D">
        <w:tc>
          <w:tcPr>
            <w:tcW w:w="0" w:type="auto"/>
            <w:shd w:val="clear" w:color="auto" w:fill="auto"/>
          </w:tcPr>
          <w:p w14:paraId="72CAF8DF" w14:textId="77777777" w:rsidR="00984C8D" w:rsidRPr="005C1DC0" w:rsidRDefault="00984C8D" w:rsidP="00984C8D">
            <w:pPr>
              <w:spacing w:after="0"/>
              <w:rPr>
                <w:rFonts w:eastAsia="Times New Roman"/>
                <w:lang w:eastAsia="ja-JP"/>
              </w:rPr>
            </w:pPr>
            <w:r w:rsidRPr="005C1DC0">
              <w:rPr>
                <w:rFonts w:eastAsia="Times New Roman"/>
                <w:lang w:val="el-GR" w:eastAsia="ja-JP"/>
              </w:rPr>
              <w:t>μ</w:t>
            </w:r>
          </w:p>
        </w:tc>
        <w:tc>
          <w:tcPr>
            <w:tcW w:w="0" w:type="auto"/>
            <w:shd w:val="clear" w:color="auto" w:fill="auto"/>
          </w:tcPr>
          <w:p w14:paraId="6FBA7A85" w14:textId="77777777" w:rsidR="00984C8D" w:rsidRPr="005C1DC0" w:rsidRDefault="00984C8D" w:rsidP="00984C8D">
            <w:pPr>
              <w:spacing w:after="0"/>
              <w:rPr>
                <w:rFonts w:eastAsia="Times New Roman"/>
                <w:lang w:eastAsia="ja-JP"/>
              </w:rPr>
            </w:pPr>
            <w:r w:rsidRPr="005C1DC0">
              <w:rPr>
                <w:rFonts w:eastAsia="Times New Roman"/>
                <w:lang w:eastAsia="ja-JP"/>
              </w:rPr>
              <w:t>0.9</w:t>
            </w:r>
          </w:p>
        </w:tc>
      </w:tr>
      <w:tr w:rsidR="00984C8D" w:rsidRPr="005C1DC0" w14:paraId="7D75B2E3" w14:textId="77777777" w:rsidTr="00984C8D">
        <w:tc>
          <w:tcPr>
            <w:tcW w:w="0" w:type="auto"/>
            <w:shd w:val="clear" w:color="auto" w:fill="auto"/>
          </w:tcPr>
          <w:p w14:paraId="434912B0" w14:textId="77777777" w:rsidR="00984C8D" w:rsidRPr="005C1DC0" w:rsidRDefault="00984C8D" w:rsidP="00984C8D">
            <w:pPr>
              <w:spacing w:after="0"/>
              <w:rPr>
                <w:rFonts w:eastAsia="Times New Roman"/>
                <w:vertAlign w:val="subscript"/>
                <w:lang w:eastAsia="ja-JP"/>
              </w:rPr>
            </w:pPr>
            <w:r w:rsidRPr="005C1DC0">
              <w:rPr>
                <w:rFonts w:eastAsia="Times New Roman"/>
                <w:lang w:val="el-GR" w:eastAsia="ja-JP"/>
              </w:rPr>
              <w:t>α</w:t>
            </w:r>
            <w:r w:rsidRPr="005C1DC0">
              <w:rPr>
                <w:rFonts w:eastAsia="Times New Roman"/>
                <w:vertAlign w:val="subscript"/>
                <w:lang w:eastAsia="ja-JP"/>
              </w:rPr>
              <w:t>p</w:t>
            </w:r>
          </w:p>
        </w:tc>
        <w:tc>
          <w:tcPr>
            <w:tcW w:w="0" w:type="auto"/>
            <w:shd w:val="clear" w:color="auto" w:fill="auto"/>
          </w:tcPr>
          <w:p w14:paraId="655EB5EA" w14:textId="77777777" w:rsidR="00984C8D" w:rsidRPr="005C1DC0" w:rsidRDefault="00984C8D" w:rsidP="00984C8D">
            <w:pPr>
              <w:spacing w:after="0"/>
              <w:rPr>
                <w:rFonts w:eastAsia="Times New Roman"/>
                <w:lang w:eastAsia="ja-JP"/>
              </w:rPr>
            </w:pPr>
            <w:r w:rsidRPr="005C1DC0">
              <w:rPr>
                <w:rFonts w:eastAsia="Times New Roman"/>
                <w:lang w:eastAsia="ja-JP"/>
              </w:rPr>
              <w:t>0.8</w:t>
            </w:r>
          </w:p>
        </w:tc>
      </w:tr>
    </w:tbl>
    <w:p w14:paraId="275CA959" w14:textId="77777777" w:rsidR="00984C8D" w:rsidRPr="00A044E4" w:rsidRDefault="00984C8D" w:rsidP="00984C8D">
      <w:pPr>
        <w:spacing w:line="360" w:lineRule="auto"/>
        <w:rPr>
          <w:rFonts w:eastAsiaTheme="minorEastAsia"/>
        </w:rPr>
      </w:pPr>
      <w:r>
        <w:rPr>
          <w:rFonts w:eastAsiaTheme="minorEastAsia"/>
        </w:rPr>
        <w:t>Table: compiling coefficients</w:t>
      </w:r>
    </w:p>
    <w:p w14:paraId="28D990FA" w14:textId="6F6D8F61" w:rsidR="00984C8D" w:rsidRDefault="00984C8D" w:rsidP="00984C8D">
      <w:pPr>
        <w:pStyle w:val="SSRNnormal"/>
      </w:pPr>
      <w:r>
        <w:t>Applying the Q.E. method with the prior coefficients:</w:t>
      </w:r>
    </w:p>
    <w:p w14:paraId="3D9B91E6" w14:textId="10FF100B" w:rsidR="00984C8D" w:rsidRDefault="000926A0" w:rsidP="00984C8D">
      <w:pPr>
        <w:pStyle w:val="SSRNnormal"/>
        <w:rPr>
          <w:b/>
        </w:rPr>
      </w:pPr>
      <w:r>
        <w:rPr>
          <w:b/>
          <w:noProof/>
        </w:rPr>
        <w:lastRenderedPageBreak/>
        <w:drawing>
          <wp:inline distT="0" distB="0" distL="0" distR="0" wp14:anchorId="41A29834" wp14:editId="146C1219">
            <wp:extent cx="5943600" cy="1885950"/>
            <wp:effectExtent l="0" t="0" r="0" b="0"/>
            <wp:docPr id="6137494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885950"/>
                    </a:xfrm>
                    <a:prstGeom prst="rect">
                      <a:avLst/>
                    </a:prstGeom>
                    <a:noFill/>
                    <a:ln>
                      <a:noFill/>
                    </a:ln>
                  </pic:spPr>
                </pic:pic>
              </a:graphicData>
            </a:graphic>
          </wp:inline>
        </w:drawing>
      </w:r>
    </w:p>
    <w:p w14:paraId="1438FE8C" w14:textId="77777777" w:rsidR="00984C8D" w:rsidRDefault="00984C8D" w:rsidP="00984C8D">
      <w:pPr>
        <w:pStyle w:val="SSRNnormal"/>
      </w:pPr>
      <w:r>
        <w:t>Figure 3: Cycle of money with its velocities</w:t>
      </w:r>
    </w:p>
    <w:p w14:paraId="6989FA1A" w14:textId="610EE251" w:rsidR="00984C8D" w:rsidRDefault="000926A0" w:rsidP="00984C8D">
      <w:pPr>
        <w:pStyle w:val="SSRNnormal"/>
      </w:pPr>
      <w:r>
        <w:t xml:space="preserve">Eq. (29) represents the velocity of escape savings </w:t>
      </w:r>
      <w:r w:rsidR="00641DAA">
        <w:t>in</w:t>
      </w:r>
      <w:r>
        <w:t xml:space="preserve"> Fig. 3a. Eq. (30) represents the financial liquidity </w:t>
      </w:r>
      <w:r w:rsidR="00641DAA">
        <w:t>in</w:t>
      </w:r>
      <w:r>
        <w:t xml:space="preserve"> Fig. 2b. </w:t>
      </w:r>
      <w:r w:rsidR="005B65D5">
        <w:t xml:space="preserve">The velocity of escape savings when it is at its minimum level the financial liquidity has increased offering </w:t>
      </w:r>
      <w:r w:rsidR="00641DAA">
        <w:t xml:space="preserve">a </w:t>
      </w:r>
      <w:r w:rsidR="005B65D5">
        <w:t xml:space="preserve">higher cycle of money. Therefore, the economy has </w:t>
      </w:r>
      <w:r w:rsidR="00641DAA">
        <w:t xml:space="preserve">been </w:t>
      </w:r>
      <w:r w:rsidR="005B65D5">
        <w:t>boosted.</w:t>
      </w:r>
    </w:p>
    <w:p w14:paraId="6D4CAEF4" w14:textId="2E19368B" w:rsidR="00984C8D" w:rsidRDefault="00984C8D" w:rsidP="001A0248">
      <w:pPr>
        <w:pStyle w:val="SSRNheading"/>
        <w:numPr>
          <w:ilvl w:val="0"/>
          <w:numId w:val="3"/>
        </w:numPr>
      </w:pPr>
      <w:r>
        <w:t>Conclusions</w:t>
      </w:r>
    </w:p>
    <w:p w14:paraId="257586AE" w14:textId="243A177B" w:rsidR="00984C8D" w:rsidRDefault="00984C8D" w:rsidP="00984C8D">
      <w:pPr>
        <w:pStyle w:val="SSRNnormal"/>
        <w:rPr>
          <w:rFonts w:eastAsiaTheme="minorEastAsia"/>
        </w:rPr>
      </w:pPr>
      <w:r>
        <w:rPr>
          <w:rFonts w:eastAsiaTheme="minorEastAsia"/>
        </w:rPr>
        <w:t>In this paper</w:t>
      </w:r>
      <w:r w:rsidR="001A0248">
        <w:rPr>
          <w:rFonts w:eastAsiaTheme="minorEastAsia"/>
        </w:rPr>
        <w:t>,</w:t>
      </w:r>
      <w:r>
        <w:rPr>
          <w:rFonts w:eastAsiaTheme="minorEastAsia"/>
        </w:rPr>
        <w:t xml:space="preserve"> </w:t>
      </w:r>
      <w:r w:rsidR="001A0248">
        <w:rPr>
          <w:rFonts w:eastAsiaTheme="minorEastAsia"/>
        </w:rPr>
        <w:t>it has</w:t>
      </w:r>
      <w:r>
        <w:rPr>
          <w:rFonts w:eastAsiaTheme="minorEastAsia"/>
        </w:rPr>
        <w:t xml:space="preserve"> conclude</w:t>
      </w:r>
      <w:r w:rsidR="001A0248">
        <w:rPr>
          <w:rFonts w:eastAsiaTheme="minorEastAsia"/>
        </w:rPr>
        <w:t>d</w:t>
      </w:r>
      <w:r>
        <w:rPr>
          <w:rFonts w:eastAsiaTheme="minorEastAsia"/>
        </w:rPr>
        <w:t xml:space="preserve"> that </w:t>
      </w:r>
      <w:r w:rsidR="001A0248">
        <w:rPr>
          <w:rFonts w:eastAsiaTheme="minorEastAsia"/>
        </w:rPr>
        <w:t xml:space="preserve">in </w:t>
      </w:r>
      <w:r>
        <w:rPr>
          <w:rFonts w:eastAsiaTheme="minorEastAsia"/>
        </w:rPr>
        <w:t xml:space="preserve">the cycle of money </w:t>
      </w:r>
      <w:r w:rsidR="003A5A1D">
        <w:rPr>
          <w:rFonts w:eastAsiaTheme="minorEastAsia"/>
        </w:rPr>
        <w:t xml:space="preserve">when there the </w:t>
      </w:r>
      <w:r w:rsidR="001A0248">
        <w:rPr>
          <w:rFonts w:eastAsiaTheme="minorEastAsia"/>
        </w:rPr>
        <w:t>escape</w:t>
      </w:r>
      <w:r w:rsidR="003A5A1D">
        <w:rPr>
          <w:rFonts w:eastAsiaTheme="minorEastAsia"/>
        </w:rPr>
        <w:t xml:space="preserve"> savings are limited the economy</w:t>
      </w:r>
      <w:r>
        <w:rPr>
          <w:rFonts w:eastAsiaTheme="minorEastAsia"/>
        </w:rPr>
        <w:t xml:space="preserve"> has a </w:t>
      </w:r>
      <w:r w:rsidR="003A5A1D">
        <w:rPr>
          <w:rFonts w:eastAsiaTheme="minorEastAsia"/>
        </w:rPr>
        <w:t xml:space="preserve">maximum </w:t>
      </w:r>
      <w:r>
        <w:rPr>
          <w:rFonts w:eastAsiaTheme="minorEastAsia"/>
        </w:rPr>
        <w:t xml:space="preserve">positive orientation. This means that </w:t>
      </w:r>
      <w:proofErr w:type="gramStart"/>
      <w:r>
        <w:rPr>
          <w:rFonts w:eastAsiaTheme="minorEastAsia"/>
        </w:rPr>
        <w:t>the consumption</w:t>
      </w:r>
      <w:proofErr w:type="gramEnd"/>
      <w:r>
        <w:rPr>
          <w:rFonts w:eastAsiaTheme="minorEastAsia"/>
        </w:rPr>
        <w:t xml:space="preserve"> and the investments would be increased in any economy</w:t>
      </w:r>
      <w:r w:rsidR="003A5A1D">
        <w:rPr>
          <w:rFonts w:eastAsiaTheme="minorEastAsia"/>
        </w:rPr>
        <w:t>, at the maximum level</w:t>
      </w:r>
      <w:r>
        <w:rPr>
          <w:rFonts w:eastAsiaTheme="minorEastAsia"/>
        </w:rPr>
        <w:t xml:space="preserve">. </w:t>
      </w:r>
      <w:proofErr w:type="gramStart"/>
      <w:r>
        <w:rPr>
          <w:rFonts w:eastAsiaTheme="minorEastAsia"/>
        </w:rPr>
        <w:t>But,</w:t>
      </w:r>
      <w:proofErr w:type="gramEnd"/>
      <w:r>
        <w:rPr>
          <w:rFonts w:eastAsiaTheme="minorEastAsia"/>
        </w:rPr>
        <w:t xml:space="preserve"> also </w:t>
      </w:r>
      <w:r w:rsidR="009D6EEA">
        <w:rPr>
          <w:rFonts w:eastAsiaTheme="minorEastAsia"/>
        </w:rPr>
        <w:t>it</w:t>
      </w:r>
      <w:r w:rsidR="002164D5">
        <w:rPr>
          <w:rFonts w:eastAsiaTheme="minorEastAsia"/>
        </w:rPr>
        <w:t xml:space="preserve"> has</w:t>
      </w:r>
      <w:r>
        <w:rPr>
          <w:rFonts w:eastAsiaTheme="minorEastAsia"/>
        </w:rPr>
        <w:t xml:space="preserve"> determined that </w:t>
      </w:r>
      <w:r w:rsidR="003A5A1D">
        <w:rPr>
          <w:rFonts w:eastAsiaTheme="minorEastAsia"/>
        </w:rPr>
        <w:t xml:space="preserve">limited </w:t>
      </w:r>
      <w:r w:rsidR="001A0248">
        <w:rPr>
          <w:rFonts w:eastAsiaTheme="minorEastAsia"/>
        </w:rPr>
        <w:t>escape</w:t>
      </w:r>
      <w:r w:rsidR="003A5A1D">
        <w:rPr>
          <w:rFonts w:eastAsiaTheme="minorEastAsia"/>
        </w:rPr>
        <w:t xml:space="preserve"> savings transform the logarithmic form of the velocity </w:t>
      </w:r>
      <w:r w:rsidR="001A0248">
        <w:rPr>
          <w:rFonts w:eastAsiaTheme="minorEastAsia"/>
        </w:rPr>
        <w:t>o</w:t>
      </w:r>
      <w:r w:rsidR="003A5A1D">
        <w:rPr>
          <w:rFonts w:eastAsiaTheme="minorEastAsia"/>
        </w:rPr>
        <w:t xml:space="preserve">f </w:t>
      </w:r>
      <w:r w:rsidR="001A0248">
        <w:rPr>
          <w:rFonts w:eastAsiaTheme="minorEastAsia"/>
        </w:rPr>
        <w:t>escape</w:t>
      </w:r>
      <w:r w:rsidR="003A5A1D">
        <w:rPr>
          <w:rFonts w:eastAsiaTheme="minorEastAsia"/>
        </w:rPr>
        <w:t xml:space="preserve"> savings into </w:t>
      </w:r>
      <w:r w:rsidR="001A0248">
        <w:rPr>
          <w:rFonts w:eastAsiaTheme="minorEastAsia"/>
        </w:rPr>
        <w:t xml:space="preserve">a </w:t>
      </w:r>
      <w:r w:rsidR="003A5A1D">
        <w:rPr>
          <w:rFonts w:eastAsiaTheme="minorEastAsia"/>
        </w:rPr>
        <w:t>linear form.</w:t>
      </w:r>
    </w:p>
    <w:p w14:paraId="28BC7A62" w14:textId="77777777" w:rsidR="00984C8D" w:rsidRDefault="00984C8D" w:rsidP="00984C8D">
      <w:pPr>
        <w:pStyle w:val="SSRNnormal"/>
        <w:rPr>
          <w:rFonts w:eastAsiaTheme="minorEastAsia"/>
          <w:b/>
        </w:rPr>
      </w:pPr>
      <w:r w:rsidRPr="00050FC5">
        <w:rPr>
          <w:rFonts w:eastAsiaTheme="minorEastAsia"/>
          <w:b/>
        </w:rPr>
        <w:t>References</w:t>
      </w:r>
    </w:p>
    <w:p w14:paraId="27CC45C9" w14:textId="3638E428" w:rsidR="00F67AB7" w:rsidRPr="00F67AB7" w:rsidRDefault="00170442" w:rsidP="00F67AB7">
      <w:pPr>
        <w:widowControl w:val="0"/>
        <w:autoSpaceDE w:val="0"/>
        <w:autoSpaceDN w:val="0"/>
        <w:adjustRightInd w:val="0"/>
        <w:spacing w:line="360" w:lineRule="auto"/>
        <w:ind w:left="480" w:hanging="480"/>
        <w:rPr>
          <w:rFonts w:cs="Times New Roman"/>
          <w:noProof/>
          <w:szCs w:val="24"/>
        </w:rPr>
      </w:pPr>
      <w:r>
        <w:rPr>
          <w:rFonts w:eastAsiaTheme="minorEastAsia"/>
        </w:rPr>
        <w:fldChar w:fldCharType="begin" w:fldLock="1"/>
      </w:r>
      <w:r>
        <w:rPr>
          <w:rFonts w:eastAsiaTheme="minorEastAsia"/>
        </w:rPr>
        <w:instrText xml:space="preserve">ADDIN Mendeley Bibliography CSL_BIBLIOGRAPHY </w:instrText>
      </w:r>
      <w:r>
        <w:rPr>
          <w:rFonts w:eastAsiaTheme="minorEastAsia"/>
        </w:rPr>
        <w:fldChar w:fldCharType="separate"/>
      </w:r>
      <w:r w:rsidR="00F67AB7" w:rsidRPr="00F67AB7">
        <w:rPr>
          <w:rFonts w:cs="Times New Roman"/>
          <w:noProof/>
          <w:szCs w:val="24"/>
        </w:rPr>
        <w:t xml:space="preserve">Aakre, S., &amp; Rübbelke, D. T. G. (2010). Objectives of public economic policy and the adaptation to climate change. </w:t>
      </w:r>
      <w:r w:rsidR="00F67AB7" w:rsidRPr="00F67AB7">
        <w:rPr>
          <w:rFonts w:cs="Times New Roman"/>
          <w:i/>
          <w:iCs/>
          <w:noProof/>
          <w:szCs w:val="24"/>
        </w:rPr>
        <w:t>Journal of Environmental Planning and Management</w:t>
      </w:r>
      <w:r w:rsidR="00F67AB7" w:rsidRPr="00F67AB7">
        <w:rPr>
          <w:rFonts w:cs="Times New Roman"/>
          <w:noProof/>
          <w:szCs w:val="24"/>
        </w:rPr>
        <w:t xml:space="preserve">, </w:t>
      </w:r>
      <w:r w:rsidR="00F67AB7" w:rsidRPr="00F67AB7">
        <w:rPr>
          <w:rFonts w:cs="Times New Roman"/>
          <w:i/>
          <w:iCs/>
          <w:noProof/>
          <w:szCs w:val="24"/>
        </w:rPr>
        <w:t>53</w:t>
      </w:r>
      <w:r w:rsidR="00F67AB7" w:rsidRPr="00F67AB7">
        <w:rPr>
          <w:rFonts w:cs="Times New Roman"/>
          <w:noProof/>
          <w:szCs w:val="24"/>
        </w:rPr>
        <w:t>(6). https://doi.org/10.1080/09640568.2010.488116</w:t>
      </w:r>
    </w:p>
    <w:p w14:paraId="629DFA0C"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Abdelkafi, I. (2018). The Relationship Between Public Debt, Economic Growth, and Monetary Policy: Empirical Evidence from Tunisia. </w:t>
      </w:r>
      <w:r w:rsidRPr="00F67AB7">
        <w:rPr>
          <w:rFonts w:cs="Times New Roman"/>
          <w:i/>
          <w:iCs/>
          <w:noProof/>
          <w:szCs w:val="24"/>
        </w:rPr>
        <w:t>Journal of the Knowledge Economy</w:t>
      </w:r>
      <w:r w:rsidRPr="00F67AB7">
        <w:rPr>
          <w:rFonts w:cs="Times New Roman"/>
          <w:noProof/>
          <w:szCs w:val="24"/>
        </w:rPr>
        <w:t xml:space="preserve">, </w:t>
      </w:r>
      <w:r w:rsidRPr="00F67AB7">
        <w:rPr>
          <w:rFonts w:cs="Times New Roman"/>
          <w:i/>
          <w:iCs/>
          <w:noProof/>
          <w:szCs w:val="24"/>
        </w:rPr>
        <w:t>9</w:t>
      </w:r>
      <w:r w:rsidRPr="00F67AB7">
        <w:rPr>
          <w:rFonts w:cs="Times New Roman"/>
          <w:noProof/>
          <w:szCs w:val="24"/>
        </w:rPr>
        <w:t>(4). https://doi.org/10.1007/s13132-016-0404-6</w:t>
      </w:r>
    </w:p>
    <w:p w14:paraId="618E89E1"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AICPA. (2017). Guiding principles of good tax policy: A framework for evaluating tax proposals. </w:t>
      </w:r>
      <w:r w:rsidRPr="00F67AB7">
        <w:rPr>
          <w:rFonts w:cs="Times New Roman"/>
          <w:i/>
          <w:iCs/>
          <w:noProof/>
          <w:szCs w:val="24"/>
        </w:rPr>
        <w:t>American Institute of Certified Public Accountants</w:t>
      </w:r>
      <w:r w:rsidRPr="00F67AB7">
        <w:rPr>
          <w:rFonts w:cs="Times New Roman"/>
          <w:noProof/>
          <w:szCs w:val="24"/>
        </w:rPr>
        <w:t xml:space="preserve">, </w:t>
      </w:r>
      <w:r w:rsidRPr="00F67AB7">
        <w:rPr>
          <w:rFonts w:cs="Times New Roman"/>
          <w:i/>
          <w:iCs/>
          <w:noProof/>
          <w:szCs w:val="24"/>
        </w:rPr>
        <w:t>2017</w:t>
      </w:r>
      <w:r w:rsidRPr="00F67AB7">
        <w:rPr>
          <w:rFonts w:cs="Times New Roman"/>
          <w:noProof/>
          <w:szCs w:val="24"/>
        </w:rPr>
        <w:t>(March 2001).</w:t>
      </w:r>
    </w:p>
    <w:p w14:paraId="344C6FAE"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lastRenderedPageBreak/>
        <w:t xml:space="preserve">Aitken, A. (2019). Measuring Welfare Beyond GDP. </w:t>
      </w:r>
      <w:r w:rsidRPr="00F67AB7">
        <w:rPr>
          <w:rFonts w:cs="Times New Roman"/>
          <w:i/>
          <w:iCs/>
          <w:noProof/>
          <w:szCs w:val="24"/>
        </w:rPr>
        <w:t>National Institute Economic Review</w:t>
      </w:r>
      <w:r w:rsidRPr="00F67AB7">
        <w:rPr>
          <w:rFonts w:cs="Times New Roman"/>
          <w:noProof/>
          <w:szCs w:val="24"/>
        </w:rPr>
        <w:t xml:space="preserve">, </w:t>
      </w:r>
      <w:r w:rsidRPr="00F67AB7">
        <w:rPr>
          <w:rFonts w:cs="Times New Roman"/>
          <w:i/>
          <w:iCs/>
          <w:noProof/>
          <w:szCs w:val="24"/>
        </w:rPr>
        <w:t>249</w:t>
      </w:r>
      <w:r w:rsidRPr="00F67AB7">
        <w:rPr>
          <w:rFonts w:cs="Times New Roman"/>
          <w:noProof/>
          <w:szCs w:val="24"/>
        </w:rPr>
        <w:t>(1). https://doi.org/10.1177/002795011924900110</w:t>
      </w:r>
    </w:p>
    <w:p w14:paraId="7365321C"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AL-UBAYDLI, O., LEE, M. S., LIST, J. A., MACKEVICIUS, C. L., &amp; SUSKIND, D. (2021). How can experiments play a greater role in public policy? Twelve proposals from an economic model of scaling. </w:t>
      </w:r>
      <w:r w:rsidRPr="00F67AB7">
        <w:rPr>
          <w:rFonts w:cs="Times New Roman"/>
          <w:i/>
          <w:iCs/>
          <w:noProof/>
          <w:szCs w:val="24"/>
        </w:rPr>
        <w:t>Behavioural Public Policy</w:t>
      </w:r>
      <w:r w:rsidRPr="00F67AB7">
        <w:rPr>
          <w:rFonts w:cs="Times New Roman"/>
          <w:noProof/>
          <w:szCs w:val="24"/>
        </w:rPr>
        <w:t xml:space="preserve">, </w:t>
      </w:r>
      <w:r w:rsidRPr="00F67AB7">
        <w:rPr>
          <w:rFonts w:cs="Times New Roman"/>
          <w:i/>
          <w:iCs/>
          <w:noProof/>
          <w:szCs w:val="24"/>
        </w:rPr>
        <w:t>5</w:t>
      </w:r>
      <w:r w:rsidRPr="00F67AB7">
        <w:rPr>
          <w:rFonts w:cs="Times New Roman"/>
          <w:noProof/>
          <w:szCs w:val="24"/>
        </w:rPr>
        <w:t>(1). https://doi.org/10.1017/bpp.2020.17</w:t>
      </w:r>
    </w:p>
    <w:p w14:paraId="0C405C74"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Altman, M. (2012). Behavioral Economics, Economic Theory and Public Policy. </w:t>
      </w:r>
      <w:r w:rsidRPr="00F67AB7">
        <w:rPr>
          <w:rFonts w:cs="Times New Roman"/>
          <w:i/>
          <w:iCs/>
          <w:noProof/>
          <w:szCs w:val="24"/>
        </w:rPr>
        <w:t>SSRN Electronic Journal</w:t>
      </w:r>
      <w:r w:rsidRPr="00F67AB7">
        <w:rPr>
          <w:rFonts w:cs="Times New Roman"/>
          <w:noProof/>
          <w:szCs w:val="24"/>
        </w:rPr>
        <w:t>. https://doi.org/10.2139/ssrn.1152105</w:t>
      </w:r>
    </w:p>
    <w:p w14:paraId="1C27806C"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Amanor-Boadu, V., Pfromm, P. H., &amp; Nelson, R. (2014). Economic feasibility of algal biodiesel under alternative public policies. </w:t>
      </w:r>
      <w:r w:rsidRPr="00F67AB7">
        <w:rPr>
          <w:rFonts w:cs="Times New Roman"/>
          <w:i/>
          <w:iCs/>
          <w:noProof/>
          <w:szCs w:val="24"/>
        </w:rPr>
        <w:t>Renewable Energy</w:t>
      </w:r>
      <w:r w:rsidRPr="00F67AB7">
        <w:rPr>
          <w:rFonts w:cs="Times New Roman"/>
          <w:noProof/>
          <w:szCs w:val="24"/>
        </w:rPr>
        <w:t xml:space="preserve">, </w:t>
      </w:r>
      <w:r w:rsidRPr="00F67AB7">
        <w:rPr>
          <w:rFonts w:cs="Times New Roman"/>
          <w:i/>
          <w:iCs/>
          <w:noProof/>
          <w:szCs w:val="24"/>
        </w:rPr>
        <w:t>67</w:t>
      </w:r>
      <w:r w:rsidRPr="00F67AB7">
        <w:rPr>
          <w:rFonts w:cs="Times New Roman"/>
          <w:noProof/>
          <w:szCs w:val="24"/>
        </w:rPr>
        <w:t>. https://doi.org/10.1016/j.renene.2013.11.029</w:t>
      </w:r>
    </w:p>
    <w:p w14:paraId="32765E24"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Anderson, M., Mckee, M., &amp; Mossialos, E. (2020). Developing a sustainable exit strategy for COVID-19: health, economic and public policy implications. In </w:t>
      </w:r>
      <w:r w:rsidRPr="00F67AB7">
        <w:rPr>
          <w:rFonts w:cs="Times New Roman"/>
          <w:i/>
          <w:iCs/>
          <w:noProof/>
          <w:szCs w:val="24"/>
        </w:rPr>
        <w:t>Journal of the Royal Society of Medicine</w:t>
      </w:r>
      <w:r w:rsidRPr="00F67AB7">
        <w:rPr>
          <w:rFonts w:cs="Times New Roman"/>
          <w:noProof/>
          <w:szCs w:val="24"/>
        </w:rPr>
        <w:t xml:space="preserve"> (Vol. 113, Issue 5). https://doi.org/10.1177/0141076820925229</w:t>
      </w:r>
    </w:p>
    <w:p w14:paraId="020659AF"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Andriansyah, A., Taufiqurokhman, T., &amp; Wekke, I. S. (2019). Responsiveness of public policy and its impact on education management: An empirical assessment from Indonesia. </w:t>
      </w:r>
      <w:r w:rsidRPr="00F67AB7">
        <w:rPr>
          <w:rFonts w:cs="Times New Roman"/>
          <w:i/>
          <w:iCs/>
          <w:noProof/>
          <w:szCs w:val="24"/>
        </w:rPr>
        <w:t>Management Science Letters</w:t>
      </w:r>
      <w:r w:rsidRPr="00F67AB7">
        <w:rPr>
          <w:rFonts w:cs="Times New Roman"/>
          <w:noProof/>
          <w:szCs w:val="24"/>
        </w:rPr>
        <w:t xml:space="preserve">, </w:t>
      </w:r>
      <w:r w:rsidRPr="00F67AB7">
        <w:rPr>
          <w:rFonts w:cs="Times New Roman"/>
          <w:i/>
          <w:iCs/>
          <w:noProof/>
          <w:szCs w:val="24"/>
        </w:rPr>
        <w:t>9</w:t>
      </w:r>
      <w:r w:rsidRPr="00F67AB7">
        <w:rPr>
          <w:rFonts w:cs="Times New Roman"/>
          <w:noProof/>
          <w:szCs w:val="24"/>
        </w:rPr>
        <w:t>(3). https://doi.org/10.5267/j.msl.2018.12.008</w:t>
      </w:r>
    </w:p>
    <w:p w14:paraId="48AB3071"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Androniceanu, A., Gherghina, R., &amp; Ciobănașu, M. (2019). The interdependence between fiscal public policies and tax evasion. </w:t>
      </w:r>
      <w:r w:rsidRPr="00F67AB7">
        <w:rPr>
          <w:rFonts w:cs="Times New Roman"/>
          <w:i/>
          <w:iCs/>
          <w:noProof/>
          <w:szCs w:val="24"/>
        </w:rPr>
        <w:t>Administratie Si Management Public</w:t>
      </w:r>
      <w:r w:rsidRPr="00F67AB7">
        <w:rPr>
          <w:rFonts w:cs="Times New Roman"/>
          <w:noProof/>
          <w:szCs w:val="24"/>
        </w:rPr>
        <w:t xml:space="preserve">, </w:t>
      </w:r>
      <w:r w:rsidRPr="00F67AB7">
        <w:rPr>
          <w:rFonts w:cs="Times New Roman"/>
          <w:i/>
          <w:iCs/>
          <w:noProof/>
          <w:szCs w:val="24"/>
        </w:rPr>
        <w:t>2019</w:t>
      </w:r>
      <w:r w:rsidRPr="00F67AB7">
        <w:rPr>
          <w:rFonts w:cs="Times New Roman"/>
          <w:noProof/>
          <w:szCs w:val="24"/>
        </w:rPr>
        <w:t>(32). https://doi.org/10.24818/amp/2019.32-03</w:t>
      </w:r>
    </w:p>
    <w:p w14:paraId="6A6E3CC9"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Anguera-Torrell, O., Aznar-Alarcón, J. P., &amp; Vives-Perez, J. (2020). COVID-19: hotel industry response to the pandemic evolution and to the public sector economic measures. </w:t>
      </w:r>
      <w:r w:rsidRPr="00F67AB7">
        <w:rPr>
          <w:rFonts w:cs="Times New Roman"/>
          <w:i/>
          <w:iCs/>
          <w:noProof/>
          <w:szCs w:val="24"/>
        </w:rPr>
        <w:t>Tourism Recreation Research</w:t>
      </w:r>
      <w:r w:rsidRPr="00F67AB7">
        <w:rPr>
          <w:rFonts w:cs="Times New Roman"/>
          <w:noProof/>
          <w:szCs w:val="24"/>
        </w:rPr>
        <w:t>. https://doi.org/10.1080/02508281.2020.1826225</w:t>
      </w:r>
    </w:p>
    <w:p w14:paraId="221EE4C8"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Arai, R., Naito, K., &amp; Ono, T. (2018). Intergenerational policies, public debt, and economic growth: A politico-economic analysis. </w:t>
      </w:r>
      <w:r w:rsidRPr="00F67AB7">
        <w:rPr>
          <w:rFonts w:cs="Times New Roman"/>
          <w:i/>
          <w:iCs/>
          <w:noProof/>
          <w:szCs w:val="24"/>
        </w:rPr>
        <w:t>Journal of Public Economics</w:t>
      </w:r>
      <w:r w:rsidRPr="00F67AB7">
        <w:rPr>
          <w:rFonts w:cs="Times New Roman"/>
          <w:noProof/>
          <w:szCs w:val="24"/>
        </w:rPr>
        <w:t xml:space="preserve">, </w:t>
      </w:r>
      <w:r w:rsidRPr="00F67AB7">
        <w:rPr>
          <w:rFonts w:cs="Times New Roman"/>
          <w:i/>
          <w:iCs/>
          <w:noProof/>
          <w:szCs w:val="24"/>
        </w:rPr>
        <w:t>166</w:t>
      </w:r>
      <w:r w:rsidRPr="00F67AB7">
        <w:rPr>
          <w:rFonts w:cs="Times New Roman"/>
          <w:noProof/>
          <w:szCs w:val="24"/>
        </w:rPr>
        <w:t>. https://doi.org/10.1016/j.jpubeco.2018.08.006</w:t>
      </w:r>
    </w:p>
    <w:p w14:paraId="163B8681"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Arbel, Y., Fialkoff, C., &amp; Kerner, A. (2019). Public policy for reducing tax evasion: implications </w:t>
      </w:r>
      <w:r w:rsidRPr="00F67AB7">
        <w:rPr>
          <w:rFonts w:cs="Times New Roman"/>
          <w:noProof/>
          <w:szCs w:val="24"/>
        </w:rPr>
        <w:lastRenderedPageBreak/>
        <w:t xml:space="preserve">of the Yule–Simpson paradox. </w:t>
      </w:r>
      <w:r w:rsidRPr="00F67AB7">
        <w:rPr>
          <w:rFonts w:cs="Times New Roman"/>
          <w:i/>
          <w:iCs/>
          <w:noProof/>
          <w:szCs w:val="24"/>
        </w:rPr>
        <w:t>Applied Economics Letters</w:t>
      </w:r>
      <w:r w:rsidRPr="00F67AB7">
        <w:rPr>
          <w:rFonts w:cs="Times New Roman"/>
          <w:noProof/>
          <w:szCs w:val="24"/>
        </w:rPr>
        <w:t xml:space="preserve">, </w:t>
      </w:r>
      <w:r w:rsidRPr="00F67AB7">
        <w:rPr>
          <w:rFonts w:cs="Times New Roman"/>
          <w:i/>
          <w:iCs/>
          <w:noProof/>
          <w:szCs w:val="24"/>
        </w:rPr>
        <w:t>26</w:t>
      </w:r>
      <w:r w:rsidRPr="00F67AB7">
        <w:rPr>
          <w:rFonts w:cs="Times New Roman"/>
          <w:noProof/>
          <w:szCs w:val="24"/>
        </w:rPr>
        <w:t>(13). https://doi.org/10.1080/13504851.2018.1537471</w:t>
      </w:r>
    </w:p>
    <w:p w14:paraId="04A3BF09"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Azzone, G. (2018). Big data and public policies: Opportunities and challenges. </w:t>
      </w:r>
      <w:r w:rsidRPr="00F67AB7">
        <w:rPr>
          <w:rFonts w:cs="Times New Roman"/>
          <w:i/>
          <w:iCs/>
          <w:noProof/>
          <w:szCs w:val="24"/>
        </w:rPr>
        <w:t>Statistics and Probability Letters</w:t>
      </w:r>
      <w:r w:rsidRPr="00F67AB7">
        <w:rPr>
          <w:rFonts w:cs="Times New Roman"/>
          <w:noProof/>
          <w:szCs w:val="24"/>
        </w:rPr>
        <w:t xml:space="preserve">, </w:t>
      </w:r>
      <w:r w:rsidRPr="00F67AB7">
        <w:rPr>
          <w:rFonts w:cs="Times New Roman"/>
          <w:i/>
          <w:iCs/>
          <w:noProof/>
          <w:szCs w:val="24"/>
        </w:rPr>
        <w:t>136</w:t>
      </w:r>
      <w:r w:rsidRPr="00F67AB7">
        <w:rPr>
          <w:rFonts w:cs="Times New Roman"/>
          <w:noProof/>
          <w:szCs w:val="24"/>
        </w:rPr>
        <w:t>. https://doi.org/10.1016/j.spl.2018.02.022</w:t>
      </w:r>
    </w:p>
    <w:p w14:paraId="18E46A47"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Bakaki, Z., &amp; Bernauer, T. (2018). Do economic conditions affect public support for environmental policy? </w:t>
      </w:r>
      <w:r w:rsidRPr="00F67AB7">
        <w:rPr>
          <w:rFonts w:cs="Times New Roman"/>
          <w:i/>
          <w:iCs/>
          <w:noProof/>
          <w:szCs w:val="24"/>
        </w:rPr>
        <w:t>Journal of Cleaner Production</w:t>
      </w:r>
      <w:r w:rsidRPr="00F67AB7">
        <w:rPr>
          <w:rFonts w:cs="Times New Roman"/>
          <w:noProof/>
          <w:szCs w:val="24"/>
        </w:rPr>
        <w:t xml:space="preserve">, </w:t>
      </w:r>
      <w:r w:rsidRPr="00F67AB7">
        <w:rPr>
          <w:rFonts w:cs="Times New Roman"/>
          <w:i/>
          <w:iCs/>
          <w:noProof/>
          <w:szCs w:val="24"/>
        </w:rPr>
        <w:t>195</w:t>
      </w:r>
      <w:r w:rsidRPr="00F67AB7">
        <w:rPr>
          <w:rFonts w:cs="Times New Roman"/>
          <w:noProof/>
          <w:szCs w:val="24"/>
        </w:rPr>
        <w:t>. https://doi.org/10.1016/j.jclepro.2018.05.162</w:t>
      </w:r>
    </w:p>
    <w:p w14:paraId="0DCDED81"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Baker, S. D., Hollifield, B., &amp; Osambela, E. (2020). Preventing controversial catastrophes. </w:t>
      </w:r>
      <w:r w:rsidRPr="00F67AB7">
        <w:rPr>
          <w:rFonts w:cs="Times New Roman"/>
          <w:i/>
          <w:iCs/>
          <w:noProof/>
          <w:szCs w:val="24"/>
        </w:rPr>
        <w:t>Review of Asset Pricing Studies</w:t>
      </w:r>
      <w:r w:rsidRPr="00F67AB7">
        <w:rPr>
          <w:rFonts w:cs="Times New Roman"/>
          <w:noProof/>
          <w:szCs w:val="24"/>
        </w:rPr>
        <w:t xml:space="preserve">, </w:t>
      </w:r>
      <w:r w:rsidRPr="00F67AB7">
        <w:rPr>
          <w:rFonts w:cs="Times New Roman"/>
          <w:i/>
          <w:iCs/>
          <w:noProof/>
          <w:szCs w:val="24"/>
        </w:rPr>
        <w:t>10</w:t>
      </w:r>
      <w:r w:rsidRPr="00F67AB7">
        <w:rPr>
          <w:rFonts w:cs="Times New Roman"/>
          <w:noProof/>
          <w:szCs w:val="24"/>
        </w:rPr>
        <w:t>(1). https://doi.org/10.1093/RAPSTU/RAZ001</w:t>
      </w:r>
    </w:p>
    <w:p w14:paraId="301D1AD2"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Baldwin, R., Forslid, R., Martin, P., Ottaviano, G., &amp; Robert-Nicoud, F. (2011). Economic geography and public policy. In </w:t>
      </w:r>
      <w:r w:rsidRPr="00F67AB7">
        <w:rPr>
          <w:rFonts w:cs="Times New Roman"/>
          <w:i/>
          <w:iCs/>
          <w:noProof/>
          <w:szCs w:val="24"/>
        </w:rPr>
        <w:t>Economic Geography and Public Policy</w:t>
      </w:r>
      <w:r w:rsidRPr="00F67AB7">
        <w:rPr>
          <w:rFonts w:cs="Times New Roman"/>
          <w:noProof/>
          <w:szCs w:val="24"/>
        </w:rPr>
        <w:t>. https://doi.org/10.1093/jnlecg/lbh045</w:t>
      </w:r>
    </w:p>
    <w:p w14:paraId="679AC387"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Bartels, L. M. (2005). Homer Gets a Tax Cut: Inequality and Public Policy in the American Mind. </w:t>
      </w:r>
      <w:r w:rsidRPr="00F67AB7">
        <w:rPr>
          <w:rFonts w:cs="Times New Roman"/>
          <w:i/>
          <w:iCs/>
          <w:noProof/>
          <w:szCs w:val="24"/>
        </w:rPr>
        <w:t>Perspectives on Politics</w:t>
      </w:r>
      <w:r w:rsidRPr="00F67AB7">
        <w:rPr>
          <w:rFonts w:cs="Times New Roman"/>
          <w:noProof/>
          <w:szCs w:val="24"/>
        </w:rPr>
        <w:t xml:space="preserve">, </w:t>
      </w:r>
      <w:r w:rsidRPr="00F67AB7">
        <w:rPr>
          <w:rFonts w:cs="Times New Roman"/>
          <w:i/>
          <w:iCs/>
          <w:noProof/>
          <w:szCs w:val="24"/>
        </w:rPr>
        <w:t>3</w:t>
      </w:r>
      <w:r w:rsidRPr="00F67AB7">
        <w:rPr>
          <w:rFonts w:cs="Times New Roman"/>
          <w:noProof/>
          <w:szCs w:val="24"/>
        </w:rPr>
        <w:t>(1). https://doi.org/10.1017/S1537592705050036</w:t>
      </w:r>
    </w:p>
    <w:p w14:paraId="374BF8B2"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Bento,  a. (2009). Biofuels: Economic and public policy considerations. </w:t>
      </w:r>
      <w:r w:rsidRPr="00F67AB7">
        <w:rPr>
          <w:rFonts w:cs="Times New Roman"/>
          <w:i/>
          <w:iCs/>
          <w:noProof/>
          <w:szCs w:val="24"/>
        </w:rPr>
        <w:t>Biofuels: Environmental Consequences and Implications of Changing Land Use, in RW Howarth and S. Bringezu (Eds.)</w:t>
      </w:r>
      <w:r w:rsidRPr="00F67AB7">
        <w:rPr>
          <w:rFonts w:cs="Times New Roman"/>
          <w:noProof/>
          <w:szCs w:val="24"/>
        </w:rPr>
        <w:t xml:space="preserve">, </w:t>
      </w:r>
      <w:r w:rsidRPr="00F67AB7">
        <w:rPr>
          <w:rFonts w:cs="Times New Roman"/>
          <w:i/>
          <w:iCs/>
          <w:noProof/>
          <w:szCs w:val="24"/>
        </w:rPr>
        <w:t>September 2008</w:t>
      </w:r>
      <w:r w:rsidRPr="00F67AB7">
        <w:rPr>
          <w:rFonts w:cs="Times New Roman"/>
          <w:noProof/>
          <w:szCs w:val="24"/>
        </w:rPr>
        <w:t>.</w:t>
      </w:r>
    </w:p>
    <w:p w14:paraId="789098A8"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Bergquist, P., Mildenberger, M., &amp; Stokes, L. C. (2020). Combining climate, economic, and social policy builds public support for climate action in the US. </w:t>
      </w:r>
      <w:r w:rsidRPr="00F67AB7">
        <w:rPr>
          <w:rFonts w:cs="Times New Roman"/>
          <w:i/>
          <w:iCs/>
          <w:noProof/>
          <w:szCs w:val="24"/>
        </w:rPr>
        <w:t>Environmental Research Letters</w:t>
      </w:r>
      <w:r w:rsidRPr="00F67AB7">
        <w:rPr>
          <w:rFonts w:cs="Times New Roman"/>
          <w:noProof/>
          <w:szCs w:val="24"/>
        </w:rPr>
        <w:t xml:space="preserve">, </w:t>
      </w:r>
      <w:r w:rsidRPr="00F67AB7">
        <w:rPr>
          <w:rFonts w:cs="Times New Roman"/>
          <w:i/>
          <w:iCs/>
          <w:noProof/>
          <w:szCs w:val="24"/>
        </w:rPr>
        <w:t>15</w:t>
      </w:r>
      <w:r w:rsidRPr="00F67AB7">
        <w:rPr>
          <w:rFonts w:cs="Times New Roman"/>
          <w:noProof/>
          <w:szCs w:val="24"/>
        </w:rPr>
        <w:t>(5). https://doi.org/10.1088/1748-9326/ab81c1</w:t>
      </w:r>
    </w:p>
    <w:p w14:paraId="5E3D569F"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Bhuiyan, S., &amp; Farazmand, A. (2020). Society and Public Policy in the Middle East and North Africa. In </w:t>
      </w:r>
      <w:r w:rsidRPr="00F67AB7">
        <w:rPr>
          <w:rFonts w:cs="Times New Roman"/>
          <w:i/>
          <w:iCs/>
          <w:noProof/>
          <w:szCs w:val="24"/>
        </w:rPr>
        <w:t>International Journal of Public Administration</w:t>
      </w:r>
      <w:r w:rsidRPr="00F67AB7">
        <w:rPr>
          <w:rFonts w:cs="Times New Roman"/>
          <w:noProof/>
          <w:szCs w:val="24"/>
        </w:rPr>
        <w:t xml:space="preserve"> (Vol. 43, Issue 5). https://doi.org/10.1080/01900692.2019.1707353</w:t>
      </w:r>
    </w:p>
    <w:p w14:paraId="7230F9AF"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Cai, Y. (2017). Nonlinear Analysis of Economic Growth, Public Debt and Policy Tools. </w:t>
      </w:r>
      <w:r w:rsidRPr="00F67AB7">
        <w:rPr>
          <w:rFonts w:cs="Times New Roman"/>
          <w:i/>
          <w:iCs/>
          <w:noProof/>
          <w:szCs w:val="24"/>
        </w:rPr>
        <w:t>Asian Economic and Financial Review</w:t>
      </w:r>
      <w:r w:rsidRPr="00F67AB7">
        <w:rPr>
          <w:rFonts w:cs="Times New Roman"/>
          <w:noProof/>
          <w:szCs w:val="24"/>
        </w:rPr>
        <w:t xml:space="preserve">, </w:t>
      </w:r>
      <w:r w:rsidRPr="00F67AB7">
        <w:rPr>
          <w:rFonts w:cs="Times New Roman"/>
          <w:i/>
          <w:iCs/>
          <w:noProof/>
          <w:szCs w:val="24"/>
        </w:rPr>
        <w:t>7</w:t>
      </w:r>
      <w:r w:rsidRPr="00F67AB7">
        <w:rPr>
          <w:rFonts w:cs="Times New Roman"/>
          <w:noProof/>
          <w:szCs w:val="24"/>
        </w:rPr>
        <w:t>(1). https://doi.org/10.18488/journal.aefr/2017.7.1/102.1.99.108</w:t>
      </w:r>
    </w:p>
    <w:p w14:paraId="5BE7AC4D"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lastRenderedPageBreak/>
        <w:t xml:space="preserve">Camous, A., &amp; Gimber, A. R. (2018). Public debt and fiscal policy traps. </w:t>
      </w:r>
      <w:r w:rsidRPr="00F67AB7">
        <w:rPr>
          <w:rFonts w:cs="Times New Roman"/>
          <w:i/>
          <w:iCs/>
          <w:noProof/>
          <w:szCs w:val="24"/>
        </w:rPr>
        <w:t>Journal of Economic Dynamics and Control</w:t>
      </w:r>
      <w:r w:rsidRPr="00F67AB7">
        <w:rPr>
          <w:rFonts w:cs="Times New Roman"/>
          <w:noProof/>
          <w:szCs w:val="24"/>
        </w:rPr>
        <w:t xml:space="preserve">, </w:t>
      </w:r>
      <w:r w:rsidRPr="00F67AB7">
        <w:rPr>
          <w:rFonts w:cs="Times New Roman"/>
          <w:i/>
          <w:iCs/>
          <w:noProof/>
          <w:szCs w:val="24"/>
        </w:rPr>
        <w:t>93</w:t>
      </w:r>
      <w:r w:rsidRPr="00F67AB7">
        <w:rPr>
          <w:rFonts w:cs="Times New Roman"/>
          <w:noProof/>
          <w:szCs w:val="24"/>
        </w:rPr>
        <w:t>. https://doi.org/10.1016/j.jedc.2018.02.009</w:t>
      </w:r>
    </w:p>
    <w:p w14:paraId="61C9FE61"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(2018a). Analysis of the velocities of escaped savings with that of financial liquidity. </w:t>
      </w:r>
      <w:r w:rsidRPr="00F67AB7">
        <w:rPr>
          <w:rFonts w:cs="Times New Roman"/>
          <w:i/>
          <w:iCs/>
          <w:noProof/>
          <w:szCs w:val="24"/>
        </w:rPr>
        <w:t>Ekonomski Signali</w:t>
      </w:r>
      <w:r w:rsidRPr="00F67AB7">
        <w:rPr>
          <w:rFonts w:cs="Times New Roman"/>
          <w:noProof/>
          <w:szCs w:val="24"/>
        </w:rPr>
        <w:t xml:space="preserve">, </w:t>
      </w:r>
      <w:r w:rsidRPr="00F67AB7">
        <w:rPr>
          <w:rFonts w:cs="Times New Roman"/>
          <w:i/>
          <w:iCs/>
          <w:noProof/>
          <w:szCs w:val="24"/>
        </w:rPr>
        <w:t>13</w:t>
      </w:r>
      <w:r w:rsidRPr="00F67AB7">
        <w:rPr>
          <w:rFonts w:cs="Times New Roman"/>
          <w:noProof/>
          <w:szCs w:val="24"/>
        </w:rPr>
        <w:t>(2), 1–14. https://doi.org/10.5937/ekonsig1802001c</w:t>
      </w:r>
    </w:p>
    <w:p w14:paraId="1D30CB79"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(2018b). Identification of Significant Economic Risks to the International Controlled Transactions. </w:t>
      </w:r>
      <w:r w:rsidRPr="00F67AB7">
        <w:rPr>
          <w:rFonts w:cs="Times New Roman"/>
          <w:i/>
          <w:iCs/>
          <w:noProof/>
          <w:szCs w:val="24"/>
        </w:rPr>
        <w:t>Economics and Applied Informatics</w:t>
      </w:r>
      <w:r w:rsidRPr="00F67AB7">
        <w:rPr>
          <w:rFonts w:cs="Times New Roman"/>
          <w:noProof/>
          <w:szCs w:val="24"/>
        </w:rPr>
        <w:t xml:space="preserve">, </w:t>
      </w:r>
      <w:r w:rsidRPr="00F67AB7">
        <w:rPr>
          <w:rFonts w:cs="Times New Roman"/>
          <w:i/>
          <w:iCs/>
          <w:noProof/>
          <w:szCs w:val="24"/>
        </w:rPr>
        <w:t>2018</w:t>
      </w:r>
      <w:r w:rsidRPr="00F67AB7">
        <w:rPr>
          <w:rFonts w:cs="Times New Roman"/>
          <w:noProof/>
          <w:szCs w:val="24"/>
        </w:rPr>
        <w:t>(3), 149–153. https://doi.org/https://doi.org/10.26397/eai1584040927</w:t>
      </w:r>
    </w:p>
    <w:p w14:paraId="73FA9A93"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(2018c). Methods of Controlled Transactions and the Behavior of Companies According to the Public and Tax Policy. </w:t>
      </w:r>
      <w:r w:rsidRPr="00F67AB7">
        <w:rPr>
          <w:rFonts w:cs="Times New Roman"/>
          <w:i/>
          <w:iCs/>
          <w:noProof/>
          <w:szCs w:val="24"/>
        </w:rPr>
        <w:t>Economics</w:t>
      </w:r>
      <w:r w:rsidRPr="00F67AB7">
        <w:rPr>
          <w:rFonts w:cs="Times New Roman"/>
          <w:noProof/>
          <w:szCs w:val="24"/>
        </w:rPr>
        <w:t xml:space="preserve">, </w:t>
      </w:r>
      <w:r w:rsidRPr="00F67AB7">
        <w:rPr>
          <w:rFonts w:cs="Times New Roman"/>
          <w:i/>
          <w:iCs/>
          <w:noProof/>
          <w:szCs w:val="24"/>
        </w:rPr>
        <w:t>6</w:t>
      </w:r>
      <w:r w:rsidRPr="00F67AB7">
        <w:rPr>
          <w:rFonts w:cs="Times New Roman"/>
          <w:noProof/>
          <w:szCs w:val="24"/>
        </w:rPr>
        <w:t>(1), 33–43. https://doi.org/10.2478/eoik-2018-0003</w:t>
      </w:r>
    </w:p>
    <w:p w14:paraId="7008ED64"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(2018d). THE IMPACT FACTOR OF HEALTH ON THE ECONOMY USING THE CYCLE OF MONEY. </w:t>
      </w:r>
      <w:r w:rsidRPr="00F67AB7">
        <w:rPr>
          <w:rFonts w:cs="Times New Roman"/>
          <w:i/>
          <w:iCs/>
          <w:noProof/>
          <w:szCs w:val="24"/>
        </w:rPr>
        <w:t>Bulletin of the Transilvania University of Braşov</w:t>
      </w:r>
      <w:r w:rsidRPr="00F67AB7">
        <w:rPr>
          <w:rFonts w:cs="Times New Roman"/>
          <w:noProof/>
          <w:szCs w:val="24"/>
        </w:rPr>
        <w:t xml:space="preserve">, </w:t>
      </w:r>
      <w:r w:rsidRPr="00F67AB7">
        <w:rPr>
          <w:rFonts w:cs="Times New Roman"/>
          <w:i/>
          <w:iCs/>
          <w:noProof/>
          <w:szCs w:val="24"/>
        </w:rPr>
        <w:t>11</w:t>
      </w:r>
      <w:r w:rsidRPr="00F67AB7">
        <w:rPr>
          <w:rFonts w:cs="Times New Roman"/>
          <w:noProof/>
          <w:szCs w:val="24"/>
        </w:rPr>
        <w:t>(60), 125–136. https://webbut.unitbv.ro/index.php/Series_V/article/view/2533/1979</w:t>
      </w:r>
    </w:p>
    <w:p w14:paraId="2187F610"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(2018e). The Keynesian Theory and the Theory of Cycle of Money. </w:t>
      </w:r>
      <w:r w:rsidRPr="00F67AB7">
        <w:rPr>
          <w:rFonts w:cs="Times New Roman"/>
          <w:i/>
          <w:iCs/>
          <w:noProof/>
          <w:szCs w:val="24"/>
        </w:rPr>
        <w:t>Hyperion Economic Journal</w:t>
      </w:r>
      <w:r w:rsidRPr="00F67AB7">
        <w:rPr>
          <w:rFonts w:cs="Times New Roman"/>
          <w:noProof/>
          <w:szCs w:val="24"/>
        </w:rPr>
        <w:t xml:space="preserve">, </w:t>
      </w:r>
      <w:r w:rsidRPr="00F67AB7">
        <w:rPr>
          <w:rFonts w:cs="Times New Roman"/>
          <w:i/>
          <w:iCs/>
          <w:noProof/>
          <w:szCs w:val="24"/>
        </w:rPr>
        <w:t>6</w:t>
      </w:r>
      <w:r w:rsidRPr="00F67AB7">
        <w:rPr>
          <w:rFonts w:cs="Times New Roman"/>
          <w:noProof/>
          <w:szCs w:val="24"/>
        </w:rPr>
        <w:t>(3), 3–8. https://hej.hyperion.ro/articles/3(6)_2018/HEJ nr3(6)_2018_A1Challoumis.pdf</w:t>
      </w:r>
    </w:p>
    <w:p w14:paraId="77F78A77"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(2018f). The Role of Risk to the International Controlled Transactions. </w:t>
      </w:r>
      <w:r w:rsidRPr="00F67AB7">
        <w:rPr>
          <w:rFonts w:cs="Times New Roman"/>
          <w:i/>
          <w:iCs/>
          <w:noProof/>
          <w:szCs w:val="24"/>
        </w:rPr>
        <w:t>Economics and Applied Informatics</w:t>
      </w:r>
      <w:r w:rsidRPr="00F67AB7">
        <w:rPr>
          <w:rFonts w:cs="Times New Roman"/>
          <w:noProof/>
          <w:szCs w:val="24"/>
        </w:rPr>
        <w:t xml:space="preserve">, </w:t>
      </w:r>
      <w:r w:rsidRPr="00F67AB7">
        <w:rPr>
          <w:rFonts w:cs="Times New Roman"/>
          <w:i/>
          <w:iCs/>
          <w:noProof/>
          <w:szCs w:val="24"/>
        </w:rPr>
        <w:t>2018</w:t>
      </w:r>
      <w:r w:rsidRPr="00F67AB7">
        <w:rPr>
          <w:rFonts w:cs="Times New Roman"/>
          <w:noProof/>
          <w:szCs w:val="24"/>
        </w:rPr>
        <w:t>(3), 57–64. https://doi.org/I https://doi.org/10.26397/eai1584040917</w:t>
      </w:r>
    </w:p>
    <w:p w14:paraId="6E880272"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(2019a). The arm’s length principle and the fixed length principle economic analysis. </w:t>
      </w:r>
      <w:r w:rsidRPr="00F67AB7">
        <w:rPr>
          <w:rFonts w:cs="Times New Roman"/>
          <w:i/>
          <w:iCs/>
          <w:noProof/>
          <w:szCs w:val="24"/>
        </w:rPr>
        <w:t>World Scientific News</w:t>
      </w:r>
      <w:r w:rsidRPr="00F67AB7">
        <w:rPr>
          <w:rFonts w:cs="Times New Roman"/>
          <w:noProof/>
          <w:szCs w:val="24"/>
        </w:rPr>
        <w:t xml:space="preserve">, </w:t>
      </w:r>
      <w:r w:rsidRPr="00F67AB7">
        <w:rPr>
          <w:rFonts w:cs="Times New Roman"/>
          <w:i/>
          <w:iCs/>
          <w:noProof/>
          <w:szCs w:val="24"/>
        </w:rPr>
        <w:t>115</w:t>
      </w:r>
      <w:r w:rsidRPr="00F67AB7">
        <w:rPr>
          <w:rFonts w:cs="Times New Roman"/>
          <w:noProof/>
          <w:szCs w:val="24"/>
        </w:rPr>
        <w:t>(2019), 207–217. http://www.worldscientificnews.com/wp-content/uploads/2018/11/WSN-115-2019-207-217.pdf</w:t>
      </w:r>
    </w:p>
    <w:p w14:paraId="72D2BC22"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(2019b). The cycle of money with and without the escaped savings. </w:t>
      </w:r>
      <w:r w:rsidRPr="00F67AB7">
        <w:rPr>
          <w:rFonts w:cs="Times New Roman"/>
          <w:i/>
          <w:iCs/>
          <w:noProof/>
          <w:szCs w:val="24"/>
        </w:rPr>
        <w:t>Ekonomski Signali</w:t>
      </w:r>
      <w:r w:rsidRPr="00F67AB7">
        <w:rPr>
          <w:rFonts w:cs="Times New Roman"/>
          <w:noProof/>
          <w:szCs w:val="24"/>
        </w:rPr>
        <w:t xml:space="preserve">, </w:t>
      </w:r>
      <w:r w:rsidRPr="00F67AB7">
        <w:rPr>
          <w:rFonts w:cs="Times New Roman"/>
          <w:i/>
          <w:iCs/>
          <w:noProof/>
          <w:szCs w:val="24"/>
        </w:rPr>
        <w:t>14</w:t>
      </w:r>
      <w:r w:rsidRPr="00F67AB7">
        <w:rPr>
          <w:rFonts w:cs="Times New Roman"/>
          <w:noProof/>
          <w:szCs w:val="24"/>
        </w:rPr>
        <w:t>(1), 89–99. https://doi.org/336.76 336.741.236.5</w:t>
      </w:r>
    </w:p>
    <w:p w14:paraId="198853C6"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(2019c). The Impact Factor of Education on the Public Sector and International Controlled Transactions. </w:t>
      </w:r>
      <w:r w:rsidRPr="00F67AB7">
        <w:rPr>
          <w:rFonts w:cs="Times New Roman"/>
          <w:i/>
          <w:iCs/>
          <w:noProof/>
          <w:szCs w:val="24"/>
        </w:rPr>
        <w:t>Complex System Research Centre</w:t>
      </w:r>
      <w:r w:rsidRPr="00F67AB7">
        <w:rPr>
          <w:rFonts w:cs="Times New Roman"/>
          <w:noProof/>
          <w:szCs w:val="24"/>
        </w:rPr>
        <w:t xml:space="preserve">, </w:t>
      </w:r>
      <w:r w:rsidRPr="00F67AB7">
        <w:rPr>
          <w:rFonts w:cs="Times New Roman"/>
          <w:i/>
          <w:iCs/>
          <w:noProof/>
          <w:szCs w:val="24"/>
        </w:rPr>
        <w:t>2019</w:t>
      </w:r>
      <w:r w:rsidRPr="00F67AB7">
        <w:rPr>
          <w:rFonts w:cs="Times New Roman"/>
          <w:noProof/>
          <w:szCs w:val="24"/>
        </w:rPr>
        <w:t xml:space="preserve">, 151–160. </w:t>
      </w:r>
      <w:r w:rsidRPr="00F67AB7">
        <w:rPr>
          <w:rFonts w:cs="Times New Roman"/>
          <w:noProof/>
          <w:szCs w:val="24"/>
        </w:rPr>
        <w:lastRenderedPageBreak/>
        <w:t>https://www.researchgate.net/publication/350453451_The_Impact_Factor_of_Education_on_the_Public_Sector_and_International_Controlled_Transactions</w:t>
      </w:r>
    </w:p>
    <w:p w14:paraId="1E028A4E"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(2019d). The Issue of Utility of Cycle of Money. </w:t>
      </w:r>
      <w:r w:rsidRPr="00F67AB7">
        <w:rPr>
          <w:rFonts w:cs="Times New Roman"/>
          <w:i/>
          <w:iCs/>
          <w:noProof/>
          <w:szCs w:val="24"/>
        </w:rPr>
        <w:t>Journal Association SEPIKE</w:t>
      </w:r>
      <w:r w:rsidRPr="00F67AB7">
        <w:rPr>
          <w:rFonts w:cs="Times New Roman"/>
          <w:noProof/>
          <w:szCs w:val="24"/>
        </w:rPr>
        <w:t xml:space="preserve">, </w:t>
      </w:r>
      <w:r w:rsidRPr="00F67AB7">
        <w:rPr>
          <w:rFonts w:cs="Times New Roman"/>
          <w:i/>
          <w:iCs/>
          <w:noProof/>
          <w:szCs w:val="24"/>
        </w:rPr>
        <w:t>2019</w:t>
      </w:r>
      <w:r w:rsidRPr="00F67AB7">
        <w:rPr>
          <w:rFonts w:cs="Times New Roman"/>
          <w:noProof/>
          <w:szCs w:val="24"/>
        </w:rPr>
        <w:t>(25), 12–21. https://5b925ea6-3d4e-400b-b5f3-32dc681218ff.filesusr.com/ugd/b199e2_dd29716b8bec48ca8fe7fbcfd47cdd2e.pdf</w:t>
      </w:r>
    </w:p>
    <w:p w14:paraId="62808EBA"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(2019e). The R.B.Q. (Rational, Behavioral and Quantified) Model. </w:t>
      </w:r>
      <w:r w:rsidRPr="00F67AB7">
        <w:rPr>
          <w:rFonts w:cs="Times New Roman"/>
          <w:i/>
          <w:iCs/>
          <w:noProof/>
          <w:szCs w:val="24"/>
        </w:rPr>
        <w:t>Ekonomika</w:t>
      </w:r>
      <w:r w:rsidRPr="00F67AB7">
        <w:rPr>
          <w:rFonts w:cs="Times New Roman"/>
          <w:noProof/>
          <w:szCs w:val="24"/>
        </w:rPr>
        <w:t xml:space="preserve">, </w:t>
      </w:r>
      <w:r w:rsidRPr="00F67AB7">
        <w:rPr>
          <w:rFonts w:cs="Times New Roman"/>
          <w:i/>
          <w:iCs/>
          <w:noProof/>
          <w:szCs w:val="24"/>
        </w:rPr>
        <w:t>98</w:t>
      </w:r>
      <w:r w:rsidRPr="00F67AB7">
        <w:rPr>
          <w:rFonts w:cs="Times New Roman"/>
          <w:noProof/>
          <w:szCs w:val="24"/>
        </w:rPr>
        <w:t>(1), 6–18. https://doi.org/10.15388/ekon.2019.1.1</w:t>
      </w:r>
    </w:p>
    <w:p w14:paraId="78F05ED7"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(2019f). Theoretical analysis of fuzzy logic and Q. E. method in econo­mics. </w:t>
      </w:r>
      <w:r w:rsidRPr="00F67AB7">
        <w:rPr>
          <w:rFonts w:cs="Times New Roman"/>
          <w:i/>
          <w:iCs/>
          <w:noProof/>
          <w:szCs w:val="24"/>
        </w:rPr>
        <w:t>IKBFU’s Vestnik</w:t>
      </w:r>
      <w:r w:rsidRPr="00F67AB7">
        <w:rPr>
          <w:rFonts w:cs="Times New Roman"/>
          <w:noProof/>
          <w:szCs w:val="24"/>
        </w:rPr>
        <w:t xml:space="preserve">, </w:t>
      </w:r>
      <w:r w:rsidRPr="00F67AB7">
        <w:rPr>
          <w:rFonts w:cs="Times New Roman"/>
          <w:i/>
          <w:iCs/>
          <w:noProof/>
          <w:szCs w:val="24"/>
        </w:rPr>
        <w:t>2019</w:t>
      </w:r>
      <w:r w:rsidRPr="00F67AB7">
        <w:rPr>
          <w:rFonts w:cs="Times New Roman"/>
          <w:noProof/>
          <w:szCs w:val="24"/>
        </w:rPr>
        <w:t>(01), 59–68.</w:t>
      </w:r>
    </w:p>
    <w:p w14:paraId="3873662D"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(2019g). Transfer Pricing Methods for Services and the Policy of Fixed Length Principle. </w:t>
      </w:r>
      <w:r w:rsidRPr="00F67AB7">
        <w:rPr>
          <w:rFonts w:cs="Times New Roman"/>
          <w:i/>
          <w:iCs/>
          <w:noProof/>
          <w:szCs w:val="24"/>
        </w:rPr>
        <w:t>Economics and Business</w:t>
      </w:r>
      <w:r w:rsidRPr="00F67AB7">
        <w:rPr>
          <w:rFonts w:cs="Times New Roman"/>
          <w:noProof/>
          <w:szCs w:val="24"/>
        </w:rPr>
        <w:t xml:space="preserve">, </w:t>
      </w:r>
      <w:r w:rsidRPr="00F67AB7">
        <w:rPr>
          <w:rFonts w:cs="Times New Roman"/>
          <w:i/>
          <w:iCs/>
          <w:noProof/>
          <w:szCs w:val="24"/>
        </w:rPr>
        <w:t>33</w:t>
      </w:r>
      <w:r w:rsidRPr="00F67AB7">
        <w:rPr>
          <w:rFonts w:cs="Times New Roman"/>
          <w:noProof/>
          <w:szCs w:val="24"/>
        </w:rPr>
        <w:t>(1), 222–232. https://doi.org/https://doi.org/10.2478/eb-2019-0016</w:t>
      </w:r>
    </w:p>
    <w:p w14:paraId="3E23A0CB"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(2020a). Analysis of the Theory of Cycle of Money. </w:t>
      </w:r>
      <w:r w:rsidRPr="00F67AB7">
        <w:rPr>
          <w:rFonts w:cs="Times New Roman"/>
          <w:i/>
          <w:iCs/>
          <w:noProof/>
          <w:szCs w:val="24"/>
        </w:rPr>
        <w:t>Acta Universitatis Bohemiae Meridionalis</w:t>
      </w:r>
      <w:r w:rsidRPr="00F67AB7">
        <w:rPr>
          <w:rFonts w:cs="Times New Roman"/>
          <w:noProof/>
          <w:szCs w:val="24"/>
        </w:rPr>
        <w:t xml:space="preserve">, </w:t>
      </w:r>
      <w:r w:rsidRPr="00F67AB7">
        <w:rPr>
          <w:rFonts w:cs="Times New Roman"/>
          <w:i/>
          <w:iCs/>
          <w:noProof/>
          <w:szCs w:val="24"/>
        </w:rPr>
        <w:t>23</w:t>
      </w:r>
      <w:r w:rsidRPr="00F67AB7">
        <w:rPr>
          <w:rFonts w:cs="Times New Roman"/>
          <w:noProof/>
          <w:szCs w:val="24"/>
        </w:rPr>
        <w:t>(2), 13–29. https://doi.org/https://doi.org/10.2478/acta-2020-0004</w:t>
      </w:r>
    </w:p>
    <w:p w14:paraId="77DC5A6B"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(2020b). Impact Factor of Capital to the Economy and Tax System. </w:t>
      </w:r>
      <w:r w:rsidRPr="00F67AB7">
        <w:rPr>
          <w:rFonts w:cs="Times New Roman"/>
          <w:i/>
          <w:iCs/>
          <w:noProof/>
          <w:szCs w:val="24"/>
        </w:rPr>
        <w:t>Complex System Research Centre</w:t>
      </w:r>
      <w:r w:rsidRPr="00F67AB7">
        <w:rPr>
          <w:rFonts w:cs="Times New Roman"/>
          <w:noProof/>
          <w:szCs w:val="24"/>
        </w:rPr>
        <w:t xml:space="preserve">, </w:t>
      </w:r>
      <w:r w:rsidRPr="00F67AB7">
        <w:rPr>
          <w:rFonts w:cs="Times New Roman"/>
          <w:i/>
          <w:iCs/>
          <w:noProof/>
          <w:szCs w:val="24"/>
        </w:rPr>
        <w:t>2020</w:t>
      </w:r>
      <w:r w:rsidRPr="00F67AB7">
        <w:rPr>
          <w:rFonts w:cs="Times New Roman"/>
          <w:noProof/>
          <w:szCs w:val="24"/>
        </w:rPr>
        <w:t>, 195–200. https://www.researchgate.net/publication/350385990_Impact_Factor_of_Capital_to_the_Economy_and_Tax_System</w:t>
      </w:r>
    </w:p>
    <w:p w14:paraId="5B85B06F"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(2020c). The Impact Factor of Costs to the Tax System. </w:t>
      </w:r>
      <w:r w:rsidRPr="00F67AB7">
        <w:rPr>
          <w:rFonts w:cs="Times New Roman"/>
          <w:i/>
          <w:iCs/>
          <w:noProof/>
          <w:szCs w:val="24"/>
        </w:rPr>
        <w:t>Journal of Entrepreneurship, Business and Economics</w:t>
      </w:r>
      <w:r w:rsidRPr="00F67AB7">
        <w:rPr>
          <w:rFonts w:cs="Times New Roman"/>
          <w:noProof/>
          <w:szCs w:val="24"/>
        </w:rPr>
        <w:t xml:space="preserve">, </w:t>
      </w:r>
      <w:r w:rsidRPr="00F67AB7">
        <w:rPr>
          <w:rFonts w:cs="Times New Roman"/>
          <w:i/>
          <w:iCs/>
          <w:noProof/>
          <w:szCs w:val="24"/>
        </w:rPr>
        <w:t>8</w:t>
      </w:r>
      <w:r w:rsidRPr="00F67AB7">
        <w:rPr>
          <w:rFonts w:cs="Times New Roman"/>
          <w:noProof/>
          <w:szCs w:val="24"/>
        </w:rPr>
        <w:t>(1), 1–14. http://scientificia.com/index.php/JEBE/article/view/126</w:t>
      </w:r>
    </w:p>
    <w:p w14:paraId="32CE6C04"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(2020d). The Impact Factor of Education on the Public Sector – The Case of the U.S. </w:t>
      </w:r>
      <w:r w:rsidRPr="00F67AB7">
        <w:rPr>
          <w:rFonts w:cs="Times New Roman"/>
          <w:i/>
          <w:iCs/>
          <w:noProof/>
          <w:szCs w:val="24"/>
        </w:rPr>
        <w:t>International Journal of Business and Economic Sciences Applied Research</w:t>
      </w:r>
      <w:r w:rsidRPr="00F67AB7">
        <w:rPr>
          <w:rFonts w:cs="Times New Roman"/>
          <w:noProof/>
          <w:szCs w:val="24"/>
        </w:rPr>
        <w:t xml:space="preserve">, </w:t>
      </w:r>
      <w:r w:rsidRPr="00F67AB7">
        <w:rPr>
          <w:rFonts w:cs="Times New Roman"/>
          <w:i/>
          <w:iCs/>
          <w:noProof/>
          <w:szCs w:val="24"/>
        </w:rPr>
        <w:t>13</w:t>
      </w:r>
      <w:r w:rsidRPr="00F67AB7">
        <w:rPr>
          <w:rFonts w:cs="Times New Roman"/>
          <w:noProof/>
          <w:szCs w:val="24"/>
        </w:rPr>
        <w:t>(1), 69–78. https://doi.org/10.25103/ijbesar.131.07</w:t>
      </w:r>
    </w:p>
    <w:p w14:paraId="34129930"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(2021a). Chain of cycle of money. </w:t>
      </w:r>
      <w:r w:rsidRPr="00F67AB7">
        <w:rPr>
          <w:rFonts w:cs="Times New Roman"/>
          <w:i/>
          <w:iCs/>
          <w:noProof/>
          <w:szCs w:val="24"/>
        </w:rPr>
        <w:t>Acta Universitatis Bohemiae Meridionalis</w:t>
      </w:r>
      <w:r w:rsidRPr="00F67AB7">
        <w:rPr>
          <w:rFonts w:cs="Times New Roman"/>
          <w:noProof/>
          <w:szCs w:val="24"/>
        </w:rPr>
        <w:t xml:space="preserve">, </w:t>
      </w:r>
      <w:r w:rsidRPr="00F67AB7">
        <w:rPr>
          <w:rFonts w:cs="Times New Roman"/>
          <w:i/>
          <w:iCs/>
          <w:noProof/>
          <w:szCs w:val="24"/>
        </w:rPr>
        <w:t>24</w:t>
      </w:r>
      <w:r w:rsidRPr="00F67AB7">
        <w:rPr>
          <w:rFonts w:cs="Times New Roman"/>
          <w:noProof/>
          <w:szCs w:val="24"/>
        </w:rPr>
        <w:t>(2), 49–74.</w:t>
      </w:r>
    </w:p>
    <w:p w14:paraId="488BA812"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lastRenderedPageBreak/>
        <w:t xml:space="preserve">Challoumis, C. (2021b). Index of the cycle of money - The case of Belarus. </w:t>
      </w:r>
      <w:r w:rsidRPr="00F67AB7">
        <w:rPr>
          <w:rFonts w:cs="Times New Roman"/>
          <w:i/>
          <w:iCs/>
          <w:noProof/>
          <w:szCs w:val="24"/>
        </w:rPr>
        <w:t>Economy and Banks</w:t>
      </w:r>
      <w:r w:rsidRPr="00F67AB7">
        <w:rPr>
          <w:rFonts w:cs="Times New Roman"/>
          <w:noProof/>
          <w:szCs w:val="24"/>
        </w:rPr>
        <w:t xml:space="preserve">, </w:t>
      </w:r>
      <w:r w:rsidRPr="00F67AB7">
        <w:rPr>
          <w:rFonts w:cs="Times New Roman"/>
          <w:i/>
          <w:iCs/>
          <w:noProof/>
          <w:szCs w:val="24"/>
        </w:rPr>
        <w:t>2</w:t>
      </w:r>
      <w:r w:rsidRPr="00F67AB7">
        <w:rPr>
          <w:rFonts w:cs="Times New Roman"/>
          <w:noProof/>
          <w:szCs w:val="24"/>
        </w:rPr>
        <w:t>.</w:t>
      </w:r>
    </w:p>
    <w:p w14:paraId="30BB8804"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(2021c). Index of the cycle of money - The case of Greece. </w:t>
      </w:r>
      <w:r w:rsidRPr="00F67AB7">
        <w:rPr>
          <w:rFonts w:cs="Times New Roman"/>
          <w:i/>
          <w:iCs/>
          <w:noProof/>
          <w:szCs w:val="24"/>
        </w:rPr>
        <w:t>IJBESAR (International Journal of Business and Economic Sciences Applied Research)</w:t>
      </w:r>
      <w:r w:rsidRPr="00F67AB7">
        <w:rPr>
          <w:rFonts w:cs="Times New Roman"/>
          <w:noProof/>
          <w:szCs w:val="24"/>
        </w:rPr>
        <w:t xml:space="preserve">, </w:t>
      </w:r>
      <w:r w:rsidRPr="00F67AB7">
        <w:rPr>
          <w:rFonts w:cs="Times New Roman"/>
          <w:i/>
          <w:iCs/>
          <w:noProof/>
          <w:szCs w:val="24"/>
        </w:rPr>
        <w:t>14</w:t>
      </w:r>
      <w:r w:rsidRPr="00F67AB7">
        <w:rPr>
          <w:rFonts w:cs="Times New Roman"/>
          <w:noProof/>
          <w:szCs w:val="24"/>
        </w:rPr>
        <w:t>(2), 58–67.</w:t>
      </w:r>
    </w:p>
    <w:p w14:paraId="255DD440"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(2021d). Index of the Cycle of Money - The Case of Latvia. </w:t>
      </w:r>
      <w:r w:rsidRPr="00F67AB7">
        <w:rPr>
          <w:rFonts w:cs="Times New Roman"/>
          <w:i/>
          <w:iCs/>
          <w:noProof/>
          <w:szCs w:val="24"/>
        </w:rPr>
        <w:t>Economics and Culture</w:t>
      </w:r>
      <w:r w:rsidRPr="00F67AB7">
        <w:rPr>
          <w:rFonts w:cs="Times New Roman"/>
          <w:noProof/>
          <w:szCs w:val="24"/>
        </w:rPr>
        <w:t xml:space="preserve">, </w:t>
      </w:r>
      <w:r w:rsidRPr="00F67AB7">
        <w:rPr>
          <w:rFonts w:cs="Times New Roman"/>
          <w:i/>
          <w:iCs/>
          <w:noProof/>
          <w:szCs w:val="24"/>
        </w:rPr>
        <w:t>17</w:t>
      </w:r>
      <w:r w:rsidRPr="00F67AB7">
        <w:rPr>
          <w:rFonts w:cs="Times New Roman"/>
          <w:noProof/>
          <w:szCs w:val="24"/>
        </w:rPr>
        <w:t>(2), 5–12. https://doi.org/10.2478/jec-2020-0015</w:t>
      </w:r>
    </w:p>
    <w:p w14:paraId="1BA46A14"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(2021e). Index of the cycle of money - The case of Montenegro. </w:t>
      </w:r>
      <w:r w:rsidRPr="00F67AB7">
        <w:rPr>
          <w:rFonts w:cs="Times New Roman"/>
          <w:i/>
          <w:iCs/>
          <w:noProof/>
          <w:szCs w:val="24"/>
        </w:rPr>
        <w:t>Montenegrin Journal for Social Sciences</w:t>
      </w:r>
      <w:r w:rsidRPr="00F67AB7">
        <w:rPr>
          <w:rFonts w:cs="Times New Roman"/>
          <w:noProof/>
          <w:szCs w:val="24"/>
        </w:rPr>
        <w:t xml:space="preserve">, </w:t>
      </w:r>
      <w:r w:rsidRPr="00F67AB7">
        <w:rPr>
          <w:rFonts w:cs="Times New Roman"/>
          <w:i/>
          <w:iCs/>
          <w:noProof/>
          <w:szCs w:val="24"/>
        </w:rPr>
        <w:t>5</w:t>
      </w:r>
      <w:r w:rsidRPr="00F67AB7">
        <w:rPr>
          <w:rFonts w:cs="Times New Roman"/>
          <w:noProof/>
          <w:szCs w:val="24"/>
        </w:rPr>
        <w:t>(1–2), 41–57.</w:t>
      </w:r>
    </w:p>
    <w:p w14:paraId="0D86380B"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(2021f). Index of the cycle of money - The case of Serbia. </w:t>
      </w:r>
      <w:r w:rsidRPr="00F67AB7">
        <w:rPr>
          <w:rFonts w:cs="Times New Roman"/>
          <w:i/>
          <w:iCs/>
          <w:noProof/>
          <w:szCs w:val="24"/>
        </w:rPr>
        <w:t>Open Journal for Research in Economics (OJRE)</w:t>
      </w:r>
      <w:r w:rsidRPr="00F67AB7">
        <w:rPr>
          <w:rFonts w:cs="Times New Roman"/>
          <w:noProof/>
          <w:szCs w:val="24"/>
        </w:rPr>
        <w:t xml:space="preserve">, </w:t>
      </w:r>
      <w:r w:rsidRPr="00F67AB7">
        <w:rPr>
          <w:rFonts w:cs="Times New Roman"/>
          <w:i/>
          <w:iCs/>
          <w:noProof/>
          <w:szCs w:val="24"/>
        </w:rPr>
        <w:t>4</w:t>
      </w:r>
      <w:r w:rsidRPr="00F67AB7">
        <w:rPr>
          <w:rFonts w:cs="Times New Roman"/>
          <w:noProof/>
          <w:szCs w:val="24"/>
        </w:rPr>
        <w:t>(1). https://centerprode.com/ojre.html</w:t>
      </w:r>
    </w:p>
    <w:p w14:paraId="7120A901"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(2021g). Index of the cycle of money - The case of Slovakia. </w:t>
      </w:r>
      <w:r w:rsidRPr="00F67AB7">
        <w:rPr>
          <w:rFonts w:cs="Times New Roman"/>
          <w:i/>
          <w:iCs/>
          <w:noProof/>
          <w:szCs w:val="24"/>
        </w:rPr>
        <w:t>S T U D I A C O M M E R C I A L I A B R A T I S L A V E N S I A Ekonomická Univerzita v Bratislave</w:t>
      </w:r>
      <w:r w:rsidRPr="00F67AB7">
        <w:rPr>
          <w:rFonts w:cs="Times New Roman"/>
          <w:noProof/>
          <w:szCs w:val="24"/>
        </w:rPr>
        <w:t xml:space="preserve">, </w:t>
      </w:r>
      <w:r w:rsidRPr="00F67AB7">
        <w:rPr>
          <w:rFonts w:cs="Times New Roman"/>
          <w:i/>
          <w:iCs/>
          <w:noProof/>
          <w:szCs w:val="24"/>
        </w:rPr>
        <w:t>14</w:t>
      </w:r>
      <w:r w:rsidRPr="00F67AB7">
        <w:rPr>
          <w:rFonts w:cs="Times New Roman"/>
          <w:noProof/>
          <w:szCs w:val="24"/>
        </w:rPr>
        <w:t>(49), 176–188.</w:t>
      </w:r>
    </w:p>
    <w:p w14:paraId="0D006F3F"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(2021h). Index of the cycle of money - The case of Thailand. </w:t>
      </w:r>
      <w:r w:rsidRPr="00F67AB7">
        <w:rPr>
          <w:rFonts w:cs="Times New Roman"/>
          <w:i/>
          <w:iCs/>
          <w:noProof/>
          <w:szCs w:val="24"/>
        </w:rPr>
        <w:t>Chiang Mai University Journal of Economics</w:t>
      </w:r>
      <w:r w:rsidRPr="00F67AB7">
        <w:rPr>
          <w:rFonts w:cs="Times New Roman"/>
          <w:noProof/>
          <w:szCs w:val="24"/>
        </w:rPr>
        <w:t xml:space="preserve">, </w:t>
      </w:r>
      <w:r w:rsidRPr="00F67AB7">
        <w:rPr>
          <w:rFonts w:cs="Times New Roman"/>
          <w:i/>
          <w:iCs/>
          <w:noProof/>
          <w:szCs w:val="24"/>
        </w:rPr>
        <w:t>25</w:t>
      </w:r>
      <w:r w:rsidRPr="00F67AB7">
        <w:rPr>
          <w:rFonts w:cs="Times New Roman"/>
          <w:noProof/>
          <w:szCs w:val="24"/>
        </w:rPr>
        <w:t>(2), 1–14. https://so01.tci-thaijo.org/index.php/CMJE/article/view/247774/169340</w:t>
      </w:r>
    </w:p>
    <w:p w14:paraId="64B87C4E"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(2021i). Index of the cycle of money - The case of Ukraine. </w:t>
      </w:r>
      <w:r w:rsidRPr="00F67AB7">
        <w:rPr>
          <w:rFonts w:cs="Times New Roman"/>
          <w:i/>
          <w:iCs/>
          <w:noProof/>
          <w:szCs w:val="24"/>
        </w:rPr>
        <w:t>Actual Problems of Economics</w:t>
      </w:r>
      <w:r w:rsidRPr="00F67AB7">
        <w:rPr>
          <w:rFonts w:cs="Times New Roman"/>
          <w:noProof/>
          <w:szCs w:val="24"/>
        </w:rPr>
        <w:t xml:space="preserve">, </w:t>
      </w:r>
      <w:r w:rsidRPr="00F67AB7">
        <w:rPr>
          <w:rFonts w:cs="Times New Roman"/>
          <w:i/>
          <w:iCs/>
          <w:noProof/>
          <w:szCs w:val="24"/>
        </w:rPr>
        <w:t>243</w:t>
      </w:r>
      <w:r w:rsidRPr="00F67AB7">
        <w:rPr>
          <w:rFonts w:cs="Times New Roman"/>
          <w:noProof/>
          <w:szCs w:val="24"/>
        </w:rPr>
        <w:t>(9), 102–111. doi:10.32752/1993-6788-2021-1-243-244-102-111</w:t>
      </w:r>
    </w:p>
    <w:p w14:paraId="1485B3ED"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(2021j). Index of the cycle of money -the case of Bulgaria. </w:t>
      </w:r>
      <w:r w:rsidRPr="00F67AB7">
        <w:rPr>
          <w:rFonts w:cs="Times New Roman"/>
          <w:i/>
          <w:iCs/>
          <w:noProof/>
          <w:szCs w:val="24"/>
        </w:rPr>
        <w:t>Economic Alternatives</w:t>
      </w:r>
      <w:r w:rsidRPr="00F67AB7">
        <w:rPr>
          <w:rFonts w:cs="Times New Roman"/>
          <w:noProof/>
          <w:szCs w:val="24"/>
        </w:rPr>
        <w:t xml:space="preserve">, </w:t>
      </w:r>
      <w:r w:rsidRPr="00F67AB7">
        <w:rPr>
          <w:rFonts w:cs="Times New Roman"/>
          <w:i/>
          <w:iCs/>
          <w:noProof/>
          <w:szCs w:val="24"/>
        </w:rPr>
        <w:t>27</w:t>
      </w:r>
      <w:r w:rsidRPr="00F67AB7">
        <w:rPr>
          <w:rFonts w:cs="Times New Roman"/>
          <w:noProof/>
          <w:szCs w:val="24"/>
        </w:rPr>
        <w:t>(2), 225–234. https://www.unwe.bg/doi/eajournal/2021.2/EA.2021.2.04.pdf</w:t>
      </w:r>
    </w:p>
    <w:p w14:paraId="68543AAD"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(2021k). The cycle of money with and without the enforcement savings. </w:t>
      </w:r>
      <w:r w:rsidRPr="00F67AB7">
        <w:rPr>
          <w:rFonts w:cs="Times New Roman"/>
          <w:i/>
          <w:iCs/>
          <w:noProof/>
          <w:szCs w:val="24"/>
        </w:rPr>
        <w:t>Complex System Research Centre</w:t>
      </w:r>
      <w:r w:rsidRPr="00F67AB7">
        <w:rPr>
          <w:rFonts w:cs="Times New Roman"/>
          <w:noProof/>
          <w:szCs w:val="24"/>
        </w:rPr>
        <w:t>.</w:t>
      </w:r>
    </w:p>
    <w:p w14:paraId="025BE5CE"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(2022a). Conditions of the CM (Cycle of Money). In </w:t>
      </w:r>
      <w:r w:rsidRPr="00F67AB7">
        <w:rPr>
          <w:rFonts w:cs="Times New Roman"/>
          <w:i/>
          <w:iCs/>
          <w:noProof/>
          <w:szCs w:val="24"/>
        </w:rPr>
        <w:t>Social and Economic Studies within the Framework of Emerging Global Developments, Volume -1, V. Kaya</w:t>
      </w:r>
      <w:r w:rsidRPr="00F67AB7">
        <w:rPr>
          <w:rFonts w:cs="Times New Roman"/>
          <w:noProof/>
          <w:szCs w:val="24"/>
        </w:rPr>
        <w:t xml:space="preserve"> (pp. 13–24). https://doi.org/10.3726/b19907</w:t>
      </w:r>
    </w:p>
    <w:p w14:paraId="1A8BB2FB"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lastRenderedPageBreak/>
        <w:t xml:space="preserve">Challoumis, C. (2022b). Impact Factor of the Rest Rewarding Taxes. In </w:t>
      </w:r>
      <w:r w:rsidRPr="00F67AB7">
        <w:rPr>
          <w:rFonts w:cs="Times New Roman"/>
          <w:i/>
          <w:iCs/>
          <w:noProof/>
          <w:szCs w:val="24"/>
        </w:rPr>
        <w:t>Complex System Research Centre</w:t>
      </w:r>
      <w:r w:rsidRPr="00F67AB7">
        <w:rPr>
          <w:rFonts w:cs="Times New Roman"/>
          <w:noProof/>
          <w:szCs w:val="24"/>
        </w:rPr>
        <w:t>. https://doi.org/10.2139/ssrn.3154753</w:t>
      </w:r>
    </w:p>
    <w:p w14:paraId="7C5E01ED"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(2022c). Index of the cycle of money - The case of Moldova. </w:t>
      </w:r>
      <w:r w:rsidRPr="00F67AB7">
        <w:rPr>
          <w:rFonts w:cs="Times New Roman"/>
          <w:i/>
          <w:iCs/>
          <w:noProof/>
          <w:szCs w:val="24"/>
        </w:rPr>
        <w:t>Eastern European Journal of Regional Economics</w:t>
      </w:r>
      <w:r w:rsidRPr="00F67AB7">
        <w:rPr>
          <w:rFonts w:cs="Times New Roman"/>
          <w:noProof/>
          <w:szCs w:val="24"/>
        </w:rPr>
        <w:t xml:space="preserve">, </w:t>
      </w:r>
      <w:r w:rsidRPr="00F67AB7">
        <w:rPr>
          <w:rFonts w:cs="Times New Roman"/>
          <w:i/>
          <w:iCs/>
          <w:noProof/>
          <w:szCs w:val="24"/>
        </w:rPr>
        <w:t>8</w:t>
      </w:r>
      <w:r w:rsidRPr="00F67AB7">
        <w:rPr>
          <w:rFonts w:cs="Times New Roman"/>
          <w:noProof/>
          <w:szCs w:val="24"/>
        </w:rPr>
        <w:t>(1), 77–89.</w:t>
      </w:r>
    </w:p>
    <w:p w14:paraId="3D7CE186"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(2022d). Index of the cycle of money - the case of Poland. </w:t>
      </w:r>
      <w:r w:rsidRPr="00F67AB7">
        <w:rPr>
          <w:rFonts w:cs="Times New Roman"/>
          <w:i/>
          <w:iCs/>
          <w:noProof/>
          <w:szCs w:val="24"/>
        </w:rPr>
        <w:t>Research Papers in Economics and Finance</w:t>
      </w:r>
      <w:r w:rsidRPr="00F67AB7">
        <w:rPr>
          <w:rFonts w:cs="Times New Roman"/>
          <w:noProof/>
          <w:szCs w:val="24"/>
        </w:rPr>
        <w:t xml:space="preserve">, </w:t>
      </w:r>
      <w:r w:rsidRPr="00F67AB7">
        <w:rPr>
          <w:rFonts w:cs="Times New Roman"/>
          <w:i/>
          <w:iCs/>
          <w:noProof/>
          <w:szCs w:val="24"/>
        </w:rPr>
        <w:t>6</w:t>
      </w:r>
      <w:r w:rsidRPr="00F67AB7">
        <w:rPr>
          <w:rFonts w:cs="Times New Roman"/>
          <w:noProof/>
          <w:szCs w:val="24"/>
        </w:rPr>
        <w:t>(1), 72–86. https://journals.ue.poznan.pl/REF/article/view/126/83</w:t>
      </w:r>
    </w:p>
    <w:p w14:paraId="7AE4B867"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(2022e). Structure of the economy. </w:t>
      </w:r>
      <w:r w:rsidRPr="00F67AB7">
        <w:rPr>
          <w:rFonts w:cs="Times New Roman"/>
          <w:i/>
          <w:iCs/>
          <w:noProof/>
          <w:szCs w:val="24"/>
        </w:rPr>
        <w:t>Actual Problems of Economics</w:t>
      </w:r>
      <w:r w:rsidRPr="00F67AB7">
        <w:rPr>
          <w:rFonts w:cs="Times New Roman"/>
          <w:noProof/>
          <w:szCs w:val="24"/>
        </w:rPr>
        <w:t xml:space="preserve">, </w:t>
      </w:r>
      <w:r w:rsidRPr="00F67AB7">
        <w:rPr>
          <w:rFonts w:cs="Times New Roman"/>
          <w:i/>
          <w:iCs/>
          <w:noProof/>
          <w:szCs w:val="24"/>
        </w:rPr>
        <w:t>247</w:t>
      </w:r>
      <w:r w:rsidRPr="00F67AB7">
        <w:rPr>
          <w:rFonts w:cs="Times New Roman"/>
          <w:noProof/>
          <w:szCs w:val="24"/>
        </w:rPr>
        <w:t>(1).</w:t>
      </w:r>
    </w:p>
    <w:p w14:paraId="338348BF"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(2023a). A comparison of the velocities of minimum escaped savings and financial liquidity. In </w:t>
      </w:r>
      <w:r w:rsidRPr="00F67AB7">
        <w:rPr>
          <w:rFonts w:cs="Times New Roman"/>
          <w:i/>
          <w:iCs/>
          <w:noProof/>
          <w:szCs w:val="24"/>
        </w:rPr>
        <w:t>Social and Economic Studies within the Framework of Emerging Global Developments, Volume - 4, V. Kaya</w:t>
      </w:r>
      <w:r w:rsidRPr="00F67AB7">
        <w:rPr>
          <w:rFonts w:cs="Times New Roman"/>
          <w:noProof/>
          <w:szCs w:val="24"/>
        </w:rPr>
        <w:t xml:space="preserve"> (pp. 41–56). https://doi.org/10.3726/b21202</w:t>
      </w:r>
    </w:p>
    <w:p w14:paraId="4E8A8EA5"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(2023b). Capital and Risk in the Tax System. In </w:t>
      </w:r>
      <w:r w:rsidRPr="00F67AB7">
        <w:rPr>
          <w:rFonts w:cs="Times New Roman"/>
          <w:i/>
          <w:iCs/>
          <w:noProof/>
          <w:szCs w:val="24"/>
        </w:rPr>
        <w:t>Complex System Research Centre</w:t>
      </w:r>
      <w:r w:rsidRPr="00F67AB7">
        <w:rPr>
          <w:rFonts w:cs="Times New Roman"/>
          <w:noProof/>
          <w:szCs w:val="24"/>
        </w:rPr>
        <w:t xml:space="preserve"> (pp. 241–244).</w:t>
      </w:r>
    </w:p>
    <w:p w14:paraId="348F1FD1"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(2023c). Chain of the Cycle of Money with and without Maximum and Minimum Mixed Savings. </w:t>
      </w:r>
      <w:r w:rsidRPr="00F67AB7">
        <w:rPr>
          <w:rFonts w:cs="Times New Roman"/>
          <w:i/>
          <w:iCs/>
          <w:noProof/>
          <w:szCs w:val="24"/>
        </w:rPr>
        <w:t>European Multidisciplinary Journal of Modern Science</w:t>
      </w:r>
      <w:r w:rsidRPr="00F67AB7">
        <w:rPr>
          <w:rFonts w:cs="Times New Roman"/>
          <w:noProof/>
          <w:szCs w:val="24"/>
        </w:rPr>
        <w:t xml:space="preserve">, </w:t>
      </w:r>
      <w:r w:rsidRPr="00F67AB7">
        <w:rPr>
          <w:rFonts w:cs="Times New Roman"/>
          <w:i/>
          <w:iCs/>
          <w:noProof/>
          <w:szCs w:val="24"/>
        </w:rPr>
        <w:t>23</w:t>
      </w:r>
      <w:r w:rsidRPr="00F67AB7">
        <w:rPr>
          <w:rFonts w:cs="Times New Roman"/>
          <w:noProof/>
          <w:szCs w:val="24"/>
        </w:rPr>
        <w:t>(2023), 1–16.</w:t>
      </w:r>
    </w:p>
    <w:p w14:paraId="71C46087"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(2023d). Chain of the Cycle of Money with and Without Maximum Mixed Savings (Three-Dimensional Approach). </w:t>
      </w:r>
      <w:r w:rsidRPr="00F67AB7">
        <w:rPr>
          <w:rFonts w:cs="Times New Roman"/>
          <w:i/>
          <w:iCs/>
          <w:noProof/>
          <w:szCs w:val="24"/>
        </w:rPr>
        <w:t>Academic Journal of Digital Economics and Stability</w:t>
      </w:r>
      <w:r w:rsidRPr="00F67AB7">
        <w:rPr>
          <w:rFonts w:cs="Times New Roman"/>
          <w:noProof/>
          <w:szCs w:val="24"/>
        </w:rPr>
        <w:t xml:space="preserve">, </w:t>
      </w:r>
      <w:r w:rsidRPr="00F67AB7">
        <w:rPr>
          <w:rFonts w:cs="Times New Roman"/>
          <w:i/>
          <w:iCs/>
          <w:noProof/>
          <w:szCs w:val="24"/>
        </w:rPr>
        <w:t>34</w:t>
      </w:r>
      <w:r w:rsidRPr="00F67AB7">
        <w:rPr>
          <w:rFonts w:cs="Times New Roman"/>
          <w:noProof/>
          <w:szCs w:val="24"/>
        </w:rPr>
        <w:t>(2023), 43–65.</w:t>
      </w:r>
    </w:p>
    <w:p w14:paraId="15B7FF73"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(2023e). Chain of the Cycle of Money with and without Minimum Mixed Savings (Three-Dimensional Approach). </w:t>
      </w:r>
      <w:r w:rsidRPr="00F67AB7">
        <w:rPr>
          <w:rFonts w:cs="Times New Roman"/>
          <w:i/>
          <w:iCs/>
          <w:noProof/>
          <w:szCs w:val="24"/>
        </w:rPr>
        <w:t>International Journal of Culture and Modernity</w:t>
      </w:r>
      <w:r w:rsidRPr="00F67AB7">
        <w:rPr>
          <w:rFonts w:cs="Times New Roman"/>
          <w:noProof/>
          <w:szCs w:val="24"/>
        </w:rPr>
        <w:t xml:space="preserve">, </w:t>
      </w:r>
      <w:r w:rsidRPr="00F67AB7">
        <w:rPr>
          <w:rFonts w:cs="Times New Roman"/>
          <w:i/>
          <w:iCs/>
          <w:noProof/>
          <w:szCs w:val="24"/>
        </w:rPr>
        <w:t>33</w:t>
      </w:r>
      <w:r w:rsidRPr="00F67AB7">
        <w:rPr>
          <w:rFonts w:cs="Times New Roman"/>
          <w:noProof/>
          <w:szCs w:val="24"/>
        </w:rPr>
        <w:t>(2023), 22–33.</w:t>
      </w:r>
    </w:p>
    <w:p w14:paraId="4ECFA18A"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(2023f). Comparisons of the Cycle of Money Based on Enforcement and Escaped Savings. </w:t>
      </w:r>
      <w:r w:rsidRPr="00F67AB7">
        <w:rPr>
          <w:rFonts w:cs="Times New Roman"/>
          <w:i/>
          <w:iCs/>
          <w:noProof/>
          <w:szCs w:val="24"/>
        </w:rPr>
        <w:t>Pindus Journal of Culture, Literature, and ELT</w:t>
      </w:r>
      <w:r w:rsidRPr="00F67AB7">
        <w:rPr>
          <w:rFonts w:cs="Times New Roman"/>
          <w:noProof/>
          <w:szCs w:val="24"/>
        </w:rPr>
        <w:t xml:space="preserve">, </w:t>
      </w:r>
      <w:r w:rsidRPr="00F67AB7">
        <w:rPr>
          <w:rFonts w:cs="Times New Roman"/>
          <w:i/>
          <w:iCs/>
          <w:noProof/>
          <w:szCs w:val="24"/>
        </w:rPr>
        <w:t>3</w:t>
      </w:r>
      <w:r w:rsidRPr="00F67AB7">
        <w:rPr>
          <w:rFonts w:cs="Times New Roman"/>
          <w:noProof/>
          <w:szCs w:val="24"/>
        </w:rPr>
        <w:t>(10), 19–28.</w:t>
      </w:r>
    </w:p>
    <w:p w14:paraId="0E74FEE8"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(2023g). Comparisons of the cycle of money with and without the mixed savings. </w:t>
      </w:r>
      <w:r w:rsidRPr="00F67AB7">
        <w:rPr>
          <w:rFonts w:cs="Times New Roman"/>
          <w:i/>
          <w:iCs/>
          <w:noProof/>
          <w:szCs w:val="24"/>
        </w:rPr>
        <w:t>Economics &amp; Law</w:t>
      </w:r>
      <w:r w:rsidRPr="00F67AB7">
        <w:rPr>
          <w:rFonts w:cs="Times New Roman"/>
          <w:noProof/>
          <w:szCs w:val="24"/>
        </w:rPr>
        <w:t>. http://el.swu.bg/ikonomika/</w:t>
      </w:r>
    </w:p>
    <w:p w14:paraId="3963C09B"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(2023h). Currency rate of the CM (Cycle of Money). </w:t>
      </w:r>
      <w:r w:rsidRPr="00F67AB7">
        <w:rPr>
          <w:rFonts w:cs="Times New Roman"/>
          <w:i/>
          <w:iCs/>
          <w:noProof/>
          <w:szCs w:val="24"/>
        </w:rPr>
        <w:t>Research Papers in Economics and Finance</w:t>
      </w:r>
      <w:r w:rsidRPr="00F67AB7">
        <w:rPr>
          <w:rFonts w:cs="Times New Roman"/>
          <w:noProof/>
          <w:szCs w:val="24"/>
        </w:rPr>
        <w:t xml:space="preserve">, </w:t>
      </w:r>
      <w:r w:rsidRPr="00F67AB7">
        <w:rPr>
          <w:rFonts w:cs="Times New Roman"/>
          <w:i/>
          <w:iCs/>
          <w:noProof/>
          <w:szCs w:val="24"/>
        </w:rPr>
        <w:t>7</w:t>
      </w:r>
      <w:r w:rsidRPr="00F67AB7">
        <w:rPr>
          <w:rFonts w:cs="Times New Roman"/>
          <w:noProof/>
          <w:szCs w:val="24"/>
        </w:rPr>
        <w:t>(1).</w:t>
      </w:r>
    </w:p>
    <w:p w14:paraId="42E0C83C"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lastRenderedPageBreak/>
        <w:t xml:space="preserve">Challoumis, C. (2023i). FROM SAVINGS TO ESCAPE AND ENFORCEMENT SAVINGS. </w:t>
      </w:r>
      <w:r w:rsidRPr="00F67AB7">
        <w:rPr>
          <w:rFonts w:cs="Times New Roman"/>
          <w:i/>
          <w:iCs/>
          <w:noProof/>
          <w:szCs w:val="24"/>
        </w:rPr>
        <w:t>Cogito</w:t>
      </w:r>
      <w:r w:rsidRPr="00F67AB7">
        <w:rPr>
          <w:rFonts w:cs="Times New Roman"/>
          <w:noProof/>
          <w:szCs w:val="24"/>
        </w:rPr>
        <w:t xml:space="preserve">, </w:t>
      </w:r>
      <w:r w:rsidRPr="00F67AB7">
        <w:rPr>
          <w:rFonts w:cs="Times New Roman"/>
          <w:i/>
          <w:iCs/>
          <w:noProof/>
          <w:szCs w:val="24"/>
        </w:rPr>
        <w:t>XV</w:t>
      </w:r>
      <w:r w:rsidRPr="00F67AB7">
        <w:rPr>
          <w:rFonts w:cs="Times New Roman"/>
          <w:noProof/>
          <w:szCs w:val="24"/>
        </w:rPr>
        <w:t>(4), 206–216.</w:t>
      </w:r>
    </w:p>
    <w:p w14:paraId="446E7C0A"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(2023j). G7 - Global Minimum Corporate Tax Rate of 15%. </w:t>
      </w:r>
      <w:r w:rsidRPr="00F67AB7">
        <w:rPr>
          <w:rFonts w:cs="Times New Roman"/>
          <w:i/>
          <w:iCs/>
          <w:noProof/>
          <w:szCs w:val="24"/>
        </w:rPr>
        <w:t>International Journal of Multicultural and Multireligious Understanding (IJMMU)</w:t>
      </w:r>
      <w:r w:rsidRPr="00F67AB7">
        <w:rPr>
          <w:rFonts w:cs="Times New Roman"/>
          <w:noProof/>
          <w:szCs w:val="24"/>
        </w:rPr>
        <w:t xml:space="preserve">, </w:t>
      </w:r>
      <w:r w:rsidRPr="00F67AB7">
        <w:rPr>
          <w:rFonts w:cs="Times New Roman"/>
          <w:i/>
          <w:iCs/>
          <w:noProof/>
          <w:szCs w:val="24"/>
        </w:rPr>
        <w:t>10</w:t>
      </w:r>
      <w:r w:rsidRPr="00F67AB7">
        <w:rPr>
          <w:rFonts w:cs="Times New Roman"/>
          <w:noProof/>
          <w:szCs w:val="24"/>
        </w:rPr>
        <w:t>(7).</w:t>
      </w:r>
    </w:p>
    <w:p w14:paraId="5D996818"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(2023k). Impact factor of bureaucracy to the tax system. </w:t>
      </w:r>
      <w:r w:rsidRPr="00F67AB7">
        <w:rPr>
          <w:rFonts w:cs="Times New Roman"/>
          <w:i/>
          <w:iCs/>
          <w:noProof/>
          <w:szCs w:val="24"/>
        </w:rPr>
        <w:t>Ekonomski Signali</w:t>
      </w:r>
      <w:r w:rsidRPr="00F67AB7">
        <w:rPr>
          <w:rFonts w:cs="Times New Roman"/>
          <w:noProof/>
          <w:szCs w:val="24"/>
        </w:rPr>
        <w:t>.</w:t>
      </w:r>
    </w:p>
    <w:p w14:paraId="613B401A"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(2023l). Impact Factor of Liability of Tax System According to the Theory of Cycle of Money. In </w:t>
      </w:r>
      <w:r w:rsidRPr="00F67AB7">
        <w:rPr>
          <w:rFonts w:cs="Times New Roman"/>
          <w:i/>
          <w:iCs/>
          <w:noProof/>
          <w:szCs w:val="24"/>
        </w:rPr>
        <w:t>Social and Economic Studies within the Framework of Emerging Global Developments Volume 3, V. Kaya</w:t>
      </w:r>
      <w:r w:rsidRPr="00F67AB7">
        <w:rPr>
          <w:rFonts w:cs="Times New Roman"/>
          <w:noProof/>
          <w:szCs w:val="24"/>
        </w:rPr>
        <w:t xml:space="preserve"> (Vol. 3, pp. 31–42). https://doi.org/10.3726/b20968</w:t>
      </w:r>
    </w:p>
    <w:p w14:paraId="3917080D"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(2023m). Index of the cycle of money: The case of Costa Rica. </w:t>
      </w:r>
      <w:r w:rsidRPr="00F67AB7">
        <w:rPr>
          <w:rFonts w:cs="Times New Roman"/>
          <w:i/>
          <w:iCs/>
          <w:noProof/>
          <w:szCs w:val="24"/>
        </w:rPr>
        <w:t>Sapienza</w:t>
      </w:r>
      <w:r w:rsidRPr="00F67AB7">
        <w:rPr>
          <w:rFonts w:cs="Times New Roman"/>
          <w:noProof/>
          <w:szCs w:val="24"/>
        </w:rPr>
        <w:t xml:space="preserve">, </w:t>
      </w:r>
      <w:r w:rsidRPr="00F67AB7">
        <w:rPr>
          <w:rFonts w:cs="Times New Roman"/>
          <w:i/>
          <w:iCs/>
          <w:noProof/>
          <w:szCs w:val="24"/>
        </w:rPr>
        <w:t>4</w:t>
      </w:r>
      <w:r w:rsidRPr="00F67AB7">
        <w:rPr>
          <w:rFonts w:cs="Times New Roman"/>
          <w:noProof/>
          <w:szCs w:val="24"/>
        </w:rPr>
        <w:t>(3), 1–11. https://journals.sapienzaeditorial.com/index.php/SIJIS</w:t>
      </w:r>
    </w:p>
    <w:p w14:paraId="439CB60F"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(2023n). Index of the cycle of money - The case of Canada. </w:t>
      </w:r>
      <w:r w:rsidRPr="00F67AB7">
        <w:rPr>
          <w:rFonts w:cs="Times New Roman"/>
          <w:i/>
          <w:iCs/>
          <w:noProof/>
          <w:szCs w:val="24"/>
        </w:rPr>
        <w:t>Journal of Entrepreneurship, Business and Economics</w:t>
      </w:r>
      <w:r w:rsidRPr="00F67AB7">
        <w:rPr>
          <w:rFonts w:cs="Times New Roman"/>
          <w:noProof/>
          <w:szCs w:val="24"/>
        </w:rPr>
        <w:t xml:space="preserve">, </w:t>
      </w:r>
      <w:r w:rsidRPr="00F67AB7">
        <w:rPr>
          <w:rFonts w:cs="Times New Roman"/>
          <w:i/>
          <w:iCs/>
          <w:noProof/>
          <w:szCs w:val="24"/>
        </w:rPr>
        <w:t>11</w:t>
      </w:r>
      <w:r w:rsidRPr="00F67AB7">
        <w:rPr>
          <w:rFonts w:cs="Times New Roman"/>
          <w:noProof/>
          <w:szCs w:val="24"/>
        </w:rPr>
        <w:t>(1), 102–133. http://scientificia.com/index.php/JEBE/article/view/203</w:t>
      </w:r>
    </w:p>
    <w:p w14:paraId="6E014765"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(2023o). Index of the Cycle of Money - The Case of England. </w:t>
      </w:r>
      <w:r w:rsidRPr="00F67AB7">
        <w:rPr>
          <w:rFonts w:cs="Times New Roman"/>
          <w:i/>
          <w:iCs/>
          <w:noProof/>
          <w:szCs w:val="24"/>
        </w:rPr>
        <w:t>British Journal of Humanities and Social Sciences</w:t>
      </w:r>
      <w:r w:rsidRPr="00F67AB7">
        <w:rPr>
          <w:rFonts w:cs="Times New Roman"/>
          <w:noProof/>
          <w:szCs w:val="24"/>
        </w:rPr>
        <w:t xml:space="preserve">, </w:t>
      </w:r>
      <w:r w:rsidRPr="00F67AB7">
        <w:rPr>
          <w:rFonts w:cs="Times New Roman"/>
          <w:i/>
          <w:iCs/>
          <w:noProof/>
          <w:szCs w:val="24"/>
        </w:rPr>
        <w:t>26</w:t>
      </w:r>
      <w:r w:rsidRPr="00F67AB7">
        <w:rPr>
          <w:rFonts w:cs="Times New Roman"/>
          <w:noProof/>
          <w:szCs w:val="24"/>
        </w:rPr>
        <w:t>(1), 68–77.</w:t>
      </w:r>
    </w:p>
    <w:p w14:paraId="421CE7C0"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(2023p). Index of the cyclee of money - The case of Ukraine from 1992 to 2020. </w:t>
      </w:r>
      <w:r w:rsidRPr="00F67AB7">
        <w:rPr>
          <w:rFonts w:cs="Times New Roman"/>
          <w:i/>
          <w:iCs/>
          <w:noProof/>
          <w:szCs w:val="24"/>
        </w:rPr>
        <w:t>Actual Problems of Economics</w:t>
      </w:r>
      <w:r w:rsidRPr="00F67AB7">
        <w:rPr>
          <w:rFonts w:cs="Times New Roman"/>
          <w:noProof/>
          <w:szCs w:val="24"/>
        </w:rPr>
        <w:t>.</w:t>
      </w:r>
    </w:p>
    <w:p w14:paraId="69F3868A"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(2023q). Maximum mixed savings on the cycle of money. </w:t>
      </w:r>
      <w:r w:rsidRPr="00F67AB7">
        <w:rPr>
          <w:rFonts w:cs="Times New Roman"/>
          <w:i/>
          <w:iCs/>
          <w:noProof/>
          <w:szCs w:val="24"/>
        </w:rPr>
        <w:t>Open Journal for Research in Economics</w:t>
      </w:r>
      <w:r w:rsidRPr="00F67AB7">
        <w:rPr>
          <w:rFonts w:cs="Times New Roman"/>
          <w:noProof/>
          <w:szCs w:val="24"/>
        </w:rPr>
        <w:t xml:space="preserve">, </w:t>
      </w:r>
      <w:r w:rsidRPr="00F67AB7">
        <w:rPr>
          <w:rFonts w:cs="Times New Roman"/>
          <w:i/>
          <w:iCs/>
          <w:noProof/>
          <w:szCs w:val="24"/>
        </w:rPr>
        <w:t>6</w:t>
      </w:r>
      <w:r w:rsidRPr="00F67AB7">
        <w:rPr>
          <w:rFonts w:cs="Times New Roman"/>
          <w:noProof/>
          <w:szCs w:val="24"/>
        </w:rPr>
        <w:t>(1), 25–34.</w:t>
      </w:r>
    </w:p>
    <w:p w14:paraId="3E7D5B83"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(2023r). Minimum Мixed Savings on Cycle of Money. </w:t>
      </w:r>
      <w:r w:rsidRPr="00F67AB7">
        <w:rPr>
          <w:rFonts w:cs="Times New Roman"/>
          <w:i/>
          <w:iCs/>
          <w:noProof/>
          <w:szCs w:val="24"/>
        </w:rPr>
        <w:t>Open Journal for Research in Economics</w:t>
      </w:r>
      <w:r w:rsidRPr="00F67AB7">
        <w:rPr>
          <w:rFonts w:cs="Times New Roman"/>
          <w:noProof/>
          <w:szCs w:val="24"/>
        </w:rPr>
        <w:t xml:space="preserve">, </w:t>
      </w:r>
      <w:r w:rsidRPr="00F67AB7">
        <w:rPr>
          <w:rFonts w:cs="Times New Roman"/>
          <w:i/>
          <w:iCs/>
          <w:noProof/>
          <w:szCs w:val="24"/>
        </w:rPr>
        <w:t>6</w:t>
      </w:r>
      <w:r w:rsidRPr="00F67AB7">
        <w:rPr>
          <w:rFonts w:cs="Times New Roman"/>
          <w:noProof/>
          <w:szCs w:val="24"/>
        </w:rPr>
        <w:t>(2), 61–68. https://centerprode.com/ojre/ojre0602/ojre-0602.html</w:t>
      </w:r>
    </w:p>
    <w:p w14:paraId="6A2C8256"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(2023s). Multiple Axiomatics Method and the Fuzzy Logic. </w:t>
      </w:r>
      <w:r w:rsidRPr="00F67AB7">
        <w:rPr>
          <w:rFonts w:cs="Times New Roman"/>
          <w:i/>
          <w:iCs/>
          <w:noProof/>
          <w:szCs w:val="24"/>
        </w:rPr>
        <w:t>MIDDLE EUROPEAN SCIENTIFIC BULLETIN</w:t>
      </w:r>
      <w:r w:rsidRPr="00F67AB7">
        <w:rPr>
          <w:rFonts w:cs="Times New Roman"/>
          <w:noProof/>
          <w:szCs w:val="24"/>
        </w:rPr>
        <w:t xml:space="preserve">, </w:t>
      </w:r>
      <w:r w:rsidRPr="00F67AB7">
        <w:rPr>
          <w:rFonts w:cs="Times New Roman"/>
          <w:i/>
          <w:iCs/>
          <w:noProof/>
          <w:szCs w:val="24"/>
        </w:rPr>
        <w:t>37</w:t>
      </w:r>
      <w:r w:rsidRPr="00F67AB7">
        <w:rPr>
          <w:rFonts w:cs="Times New Roman"/>
          <w:noProof/>
          <w:szCs w:val="24"/>
        </w:rPr>
        <w:t>(1), 63–68.</w:t>
      </w:r>
    </w:p>
    <w:p w14:paraId="4890FD9A"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(2023t). Principles for the Authorities on Activities with Controlled Transactions. </w:t>
      </w:r>
      <w:r w:rsidRPr="00F67AB7">
        <w:rPr>
          <w:rFonts w:cs="Times New Roman"/>
          <w:i/>
          <w:iCs/>
          <w:noProof/>
          <w:szCs w:val="24"/>
        </w:rPr>
        <w:t>Academic Journal of Digital Economics and Stability</w:t>
      </w:r>
      <w:r w:rsidRPr="00F67AB7">
        <w:rPr>
          <w:rFonts w:cs="Times New Roman"/>
          <w:noProof/>
          <w:szCs w:val="24"/>
        </w:rPr>
        <w:t xml:space="preserve">, </w:t>
      </w:r>
      <w:r w:rsidRPr="00F67AB7">
        <w:rPr>
          <w:rFonts w:cs="Times New Roman"/>
          <w:i/>
          <w:iCs/>
          <w:noProof/>
          <w:szCs w:val="24"/>
        </w:rPr>
        <w:t>30</w:t>
      </w:r>
      <w:r w:rsidRPr="00F67AB7">
        <w:rPr>
          <w:rFonts w:cs="Times New Roman"/>
          <w:noProof/>
          <w:szCs w:val="24"/>
        </w:rPr>
        <w:t>(1), 136–152.</w:t>
      </w:r>
    </w:p>
    <w:p w14:paraId="7D5DC70C"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lastRenderedPageBreak/>
        <w:t xml:space="preserve">Challoumis, C. (2023u). Risk on the tax system of the E.U. from 2016 to 2022. </w:t>
      </w:r>
      <w:r w:rsidRPr="00F67AB7">
        <w:rPr>
          <w:rFonts w:cs="Times New Roman"/>
          <w:i/>
          <w:iCs/>
          <w:noProof/>
          <w:szCs w:val="24"/>
        </w:rPr>
        <w:t>Economics</w:t>
      </w:r>
      <w:r w:rsidRPr="00F67AB7">
        <w:rPr>
          <w:rFonts w:cs="Times New Roman"/>
          <w:noProof/>
          <w:szCs w:val="24"/>
        </w:rPr>
        <w:t xml:space="preserve">, </w:t>
      </w:r>
      <w:r w:rsidRPr="00F67AB7">
        <w:rPr>
          <w:rFonts w:cs="Times New Roman"/>
          <w:i/>
          <w:iCs/>
          <w:noProof/>
          <w:szCs w:val="24"/>
        </w:rPr>
        <w:t>11</w:t>
      </w:r>
      <w:r w:rsidRPr="00F67AB7">
        <w:rPr>
          <w:rFonts w:cs="Times New Roman"/>
          <w:noProof/>
          <w:szCs w:val="24"/>
        </w:rPr>
        <w:t>(2).</w:t>
      </w:r>
    </w:p>
    <w:p w14:paraId="11AA09DA"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(2023v). The Cycle of Money (C.M.) Considers Financial Liquidity with Minimum Mixed Savings. </w:t>
      </w:r>
      <w:r w:rsidRPr="00F67AB7">
        <w:rPr>
          <w:rFonts w:cs="Times New Roman"/>
          <w:i/>
          <w:iCs/>
          <w:noProof/>
          <w:szCs w:val="24"/>
        </w:rPr>
        <w:t>Open Journal for Research in Economics</w:t>
      </w:r>
      <w:r w:rsidRPr="00F67AB7">
        <w:rPr>
          <w:rFonts w:cs="Times New Roman"/>
          <w:noProof/>
          <w:szCs w:val="24"/>
        </w:rPr>
        <w:t xml:space="preserve">, </w:t>
      </w:r>
      <w:r w:rsidRPr="00F67AB7">
        <w:rPr>
          <w:rFonts w:cs="Times New Roman"/>
          <w:i/>
          <w:iCs/>
          <w:noProof/>
          <w:szCs w:val="24"/>
        </w:rPr>
        <w:t>6</w:t>
      </w:r>
      <w:r w:rsidRPr="00F67AB7">
        <w:rPr>
          <w:rFonts w:cs="Times New Roman"/>
          <w:noProof/>
          <w:szCs w:val="24"/>
        </w:rPr>
        <w:t>(1), 1–12.</w:t>
      </w:r>
    </w:p>
    <w:p w14:paraId="4348B8A7"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(2023w). The Cycle of Money with and Without the Maximum and Minimum Mixed Savings. </w:t>
      </w:r>
      <w:r w:rsidRPr="00F67AB7">
        <w:rPr>
          <w:rFonts w:cs="Times New Roman"/>
          <w:i/>
          <w:iCs/>
          <w:noProof/>
          <w:szCs w:val="24"/>
        </w:rPr>
        <w:t>Middle European Scientific Bulletin</w:t>
      </w:r>
      <w:r w:rsidRPr="00F67AB7">
        <w:rPr>
          <w:rFonts w:cs="Times New Roman"/>
          <w:noProof/>
          <w:szCs w:val="24"/>
        </w:rPr>
        <w:t xml:space="preserve">, </w:t>
      </w:r>
      <w:r w:rsidRPr="00F67AB7">
        <w:rPr>
          <w:rFonts w:cs="Times New Roman"/>
          <w:i/>
          <w:iCs/>
          <w:noProof/>
          <w:szCs w:val="24"/>
        </w:rPr>
        <w:t>41</w:t>
      </w:r>
      <w:r w:rsidRPr="00F67AB7">
        <w:rPr>
          <w:rFonts w:cs="Times New Roman"/>
          <w:noProof/>
          <w:szCs w:val="24"/>
        </w:rPr>
        <w:t>(2023), 47–56.</w:t>
      </w:r>
    </w:p>
    <w:p w14:paraId="57E0AAF2"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(2023x). The cycle of money with and without the maximum mixed savings (Two-dimensional approach). </w:t>
      </w:r>
      <w:r w:rsidRPr="00F67AB7">
        <w:rPr>
          <w:rFonts w:cs="Times New Roman"/>
          <w:i/>
          <w:iCs/>
          <w:noProof/>
          <w:szCs w:val="24"/>
        </w:rPr>
        <w:t>International Journal of Culture and Modernity</w:t>
      </w:r>
      <w:r w:rsidRPr="00F67AB7">
        <w:rPr>
          <w:rFonts w:cs="Times New Roman"/>
          <w:noProof/>
          <w:szCs w:val="24"/>
        </w:rPr>
        <w:t xml:space="preserve">, </w:t>
      </w:r>
      <w:r w:rsidRPr="00F67AB7">
        <w:rPr>
          <w:rFonts w:cs="Times New Roman"/>
          <w:i/>
          <w:iCs/>
          <w:noProof/>
          <w:szCs w:val="24"/>
        </w:rPr>
        <w:t>33</w:t>
      </w:r>
      <w:r w:rsidRPr="00F67AB7">
        <w:rPr>
          <w:rFonts w:cs="Times New Roman"/>
          <w:noProof/>
          <w:szCs w:val="24"/>
        </w:rPr>
        <w:t>(2023), 34–45.</w:t>
      </w:r>
    </w:p>
    <w:p w14:paraId="610ADC4E"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(2023y). The Cycle of Money with and Without the Minimum Mixed Savings. </w:t>
      </w:r>
      <w:r w:rsidRPr="00F67AB7">
        <w:rPr>
          <w:rFonts w:cs="Times New Roman"/>
          <w:i/>
          <w:iCs/>
          <w:noProof/>
          <w:szCs w:val="24"/>
        </w:rPr>
        <w:t>Pindus Journal of Culture, Literature, and ELT</w:t>
      </w:r>
      <w:r w:rsidRPr="00F67AB7">
        <w:rPr>
          <w:rFonts w:cs="Times New Roman"/>
          <w:noProof/>
          <w:szCs w:val="24"/>
        </w:rPr>
        <w:t xml:space="preserve">, </w:t>
      </w:r>
      <w:r w:rsidRPr="00F67AB7">
        <w:rPr>
          <w:rFonts w:cs="Times New Roman"/>
          <w:i/>
          <w:iCs/>
          <w:noProof/>
          <w:szCs w:val="24"/>
        </w:rPr>
        <w:t>3</w:t>
      </w:r>
      <w:r w:rsidRPr="00F67AB7">
        <w:rPr>
          <w:rFonts w:cs="Times New Roman"/>
          <w:noProof/>
          <w:szCs w:val="24"/>
        </w:rPr>
        <w:t>(10), 29–39.</w:t>
      </w:r>
    </w:p>
    <w:p w14:paraId="78B286BB"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(2023z). The cycle of money with mixed savings. </w:t>
      </w:r>
      <w:r w:rsidRPr="00F67AB7">
        <w:rPr>
          <w:rFonts w:cs="Times New Roman"/>
          <w:i/>
          <w:iCs/>
          <w:noProof/>
          <w:szCs w:val="24"/>
        </w:rPr>
        <w:t>Open Journal for Research in Economics</w:t>
      </w:r>
      <w:r w:rsidRPr="00F67AB7">
        <w:rPr>
          <w:rFonts w:cs="Times New Roman"/>
          <w:noProof/>
          <w:szCs w:val="24"/>
        </w:rPr>
        <w:t xml:space="preserve">, </w:t>
      </w:r>
      <w:r w:rsidRPr="00F67AB7">
        <w:rPr>
          <w:rFonts w:cs="Times New Roman"/>
          <w:i/>
          <w:iCs/>
          <w:noProof/>
          <w:szCs w:val="24"/>
        </w:rPr>
        <w:t>6</w:t>
      </w:r>
      <w:r w:rsidRPr="00F67AB7">
        <w:rPr>
          <w:rFonts w:cs="Times New Roman"/>
          <w:noProof/>
          <w:szCs w:val="24"/>
        </w:rPr>
        <w:t>(2), 41–50.</w:t>
      </w:r>
    </w:p>
    <w:p w14:paraId="73E7B170"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(2023aa). The Theory of Cycle of Money - How Do Principles of the Authorities on Public Policy, Taxes, and Controlled Transactions Affect the Economy and Society? </w:t>
      </w:r>
      <w:r w:rsidRPr="00F67AB7">
        <w:rPr>
          <w:rFonts w:cs="Times New Roman"/>
          <w:i/>
          <w:iCs/>
          <w:noProof/>
          <w:szCs w:val="24"/>
        </w:rPr>
        <w:t>International Journal of Social Science Research and Review (IJSSRR)</w:t>
      </w:r>
      <w:r w:rsidRPr="00F67AB7">
        <w:rPr>
          <w:rFonts w:cs="Times New Roman"/>
          <w:noProof/>
          <w:szCs w:val="24"/>
        </w:rPr>
        <w:t xml:space="preserve">, </w:t>
      </w:r>
      <w:r w:rsidRPr="00F67AB7">
        <w:rPr>
          <w:rFonts w:cs="Times New Roman"/>
          <w:i/>
          <w:iCs/>
          <w:noProof/>
          <w:szCs w:val="24"/>
        </w:rPr>
        <w:t>6</w:t>
      </w:r>
      <w:r w:rsidRPr="00F67AB7">
        <w:rPr>
          <w:rFonts w:cs="Times New Roman"/>
          <w:noProof/>
          <w:szCs w:val="24"/>
        </w:rPr>
        <w:t>(8).</w:t>
      </w:r>
    </w:p>
    <w:p w14:paraId="1A8EF91F"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(2023ab). The Velocities of Maximum Escaped Savings with than of Financial Liquidity to the Case of Mixed Savings. </w:t>
      </w:r>
      <w:r w:rsidRPr="00F67AB7">
        <w:rPr>
          <w:rFonts w:cs="Times New Roman"/>
          <w:i/>
          <w:iCs/>
          <w:noProof/>
          <w:szCs w:val="24"/>
        </w:rPr>
        <w:t>International Journal on Economics, Finance and Sustainable Development</w:t>
      </w:r>
      <w:r w:rsidRPr="00F67AB7">
        <w:rPr>
          <w:rFonts w:cs="Times New Roman"/>
          <w:noProof/>
          <w:szCs w:val="24"/>
        </w:rPr>
        <w:t xml:space="preserve">, </w:t>
      </w:r>
      <w:r w:rsidRPr="00F67AB7">
        <w:rPr>
          <w:rFonts w:cs="Times New Roman"/>
          <w:i/>
          <w:iCs/>
          <w:noProof/>
          <w:szCs w:val="24"/>
        </w:rPr>
        <w:t>5</w:t>
      </w:r>
      <w:r w:rsidRPr="00F67AB7">
        <w:rPr>
          <w:rFonts w:cs="Times New Roman"/>
          <w:noProof/>
          <w:szCs w:val="24"/>
        </w:rPr>
        <w:t>(6), 124–133.</w:t>
      </w:r>
    </w:p>
    <w:p w14:paraId="79F7CF3C"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(2023ac). The Velocity of Escaped Savings and Maximum Financial Liquidity. </w:t>
      </w:r>
      <w:r w:rsidRPr="00F67AB7">
        <w:rPr>
          <w:rFonts w:cs="Times New Roman"/>
          <w:i/>
          <w:iCs/>
          <w:noProof/>
          <w:szCs w:val="24"/>
        </w:rPr>
        <w:t>Journal of Digital Economics and Stability</w:t>
      </w:r>
      <w:r w:rsidRPr="00F67AB7">
        <w:rPr>
          <w:rFonts w:cs="Times New Roman"/>
          <w:noProof/>
          <w:szCs w:val="24"/>
        </w:rPr>
        <w:t xml:space="preserve">, </w:t>
      </w:r>
      <w:r w:rsidRPr="00F67AB7">
        <w:rPr>
          <w:rFonts w:cs="Times New Roman"/>
          <w:i/>
          <w:iCs/>
          <w:noProof/>
          <w:szCs w:val="24"/>
        </w:rPr>
        <w:t>34</w:t>
      </w:r>
      <w:r w:rsidRPr="00F67AB7">
        <w:rPr>
          <w:rFonts w:cs="Times New Roman"/>
          <w:noProof/>
          <w:szCs w:val="24"/>
        </w:rPr>
        <w:t>(2023), 55–65.</w:t>
      </w:r>
    </w:p>
    <w:p w14:paraId="32D61ABF"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(2023ad). The Velocity of Escaped Savings and Velocity of Financial Liquidity. </w:t>
      </w:r>
      <w:r w:rsidRPr="00F67AB7">
        <w:rPr>
          <w:rFonts w:cs="Times New Roman"/>
          <w:i/>
          <w:iCs/>
          <w:noProof/>
          <w:szCs w:val="24"/>
        </w:rPr>
        <w:t>Middle European Scientific Bulletin</w:t>
      </w:r>
      <w:r w:rsidRPr="00F67AB7">
        <w:rPr>
          <w:rFonts w:cs="Times New Roman"/>
          <w:noProof/>
          <w:szCs w:val="24"/>
        </w:rPr>
        <w:t xml:space="preserve">, </w:t>
      </w:r>
      <w:r w:rsidRPr="00F67AB7">
        <w:rPr>
          <w:rFonts w:cs="Times New Roman"/>
          <w:i/>
          <w:iCs/>
          <w:noProof/>
          <w:szCs w:val="24"/>
        </w:rPr>
        <w:t>41</w:t>
      </w:r>
      <w:r w:rsidRPr="00F67AB7">
        <w:rPr>
          <w:rFonts w:cs="Times New Roman"/>
          <w:noProof/>
          <w:szCs w:val="24"/>
        </w:rPr>
        <w:t>(2023), 57–66.</w:t>
      </w:r>
    </w:p>
    <w:p w14:paraId="5ACCE53B"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(2023ae). Utility of cycle of money with and without the enforcement savings. </w:t>
      </w:r>
      <w:r w:rsidRPr="00F67AB7">
        <w:rPr>
          <w:rFonts w:cs="Times New Roman"/>
          <w:i/>
          <w:iCs/>
          <w:noProof/>
          <w:szCs w:val="24"/>
        </w:rPr>
        <w:t>GOSPODARKA I INNOWACJE</w:t>
      </w:r>
      <w:r w:rsidRPr="00F67AB7">
        <w:rPr>
          <w:rFonts w:cs="Times New Roman"/>
          <w:noProof/>
          <w:szCs w:val="24"/>
        </w:rPr>
        <w:t xml:space="preserve">, </w:t>
      </w:r>
      <w:r w:rsidRPr="00F67AB7">
        <w:rPr>
          <w:rFonts w:cs="Times New Roman"/>
          <w:i/>
          <w:iCs/>
          <w:noProof/>
          <w:szCs w:val="24"/>
        </w:rPr>
        <w:t>36</w:t>
      </w:r>
      <w:r w:rsidRPr="00F67AB7">
        <w:rPr>
          <w:rFonts w:cs="Times New Roman"/>
          <w:noProof/>
          <w:szCs w:val="24"/>
        </w:rPr>
        <w:t>(1), 269–277.</w:t>
      </w:r>
    </w:p>
    <w:p w14:paraId="0182EC18"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(2023af). Utility of Cycle of Money with and without the Escaping Savings. </w:t>
      </w:r>
      <w:r w:rsidRPr="00F67AB7">
        <w:rPr>
          <w:rFonts w:cs="Times New Roman"/>
          <w:i/>
          <w:iCs/>
          <w:noProof/>
          <w:szCs w:val="24"/>
        </w:rPr>
        <w:lastRenderedPageBreak/>
        <w:t>International Journal of Business Diplomacy and Economy</w:t>
      </w:r>
      <w:r w:rsidRPr="00F67AB7">
        <w:rPr>
          <w:rFonts w:cs="Times New Roman"/>
          <w:noProof/>
          <w:szCs w:val="24"/>
        </w:rPr>
        <w:t xml:space="preserve">, </w:t>
      </w:r>
      <w:r w:rsidRPr="00F67AB7">
        <w:rPr>
          <w:rFonts w:cs="Times New Roman"/>
          <w:i/>
          <w:iCs/>
          <w:noProof/>
          <w:szCs w:val="24"/>
        </w:rPr>
        <w:t>2</w:t>
      </w:r>
      <w:r w:rsidRPr="00F67AB7">
        <w:rPr>
          <w:rFonts w:cs="Times New Roman"/>
          <w:noProof/>
          <w:szCs w:val="24"/>
        </w:rPr>
        <w:t>(6), 92–101.</w:t>
      </w:r>
    </w:p>
    <w:p w14:paraId="16A7F82A"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(2023ag). Utility of Cycle of Money without the Escaping Savings (Protection of the Economy). In </w:t>
      </w:r>
      <w:r w:rsidRPr="00F67AB7">
        <w:rPr>
          <w:rFonts w:cs="Times New Roman"/>
          <w:i/>
          <w:iCs/>
          <w:noProof/>
          <w:szCs w:val="24"/>
        </w:rPr>
        <w:t>Social and Economic Studies within the Framework of Emerging Global Developments Volume 2, V. Kaya</w:t>
      </w:r>
      <w:r w:rsidRPr="00F67AB7">
        <w:rPr>
          <w:rFonts w:cs="Times New Roman"/>
          <w:noProof/>
          <w:szCs w:val="24"/>
        </w:rPr>
        <w:t xml:space="preserve"> (pp. 53–64). https://doi.org/10.3726/b20509</w:t>
      </w:r>
    </w:p>
    <w:p w14:paraId="44E81383"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(2023ah). Velocity of Escaped Savings and Minimum Financial Liquidity According to the Theory of Cycle of Money. </w:t>
      </w:r>
      <w:r w:rsidRPr="00F67AB7">
        <w:rPr>
          <w:rFonts w:cs="Times New Roman"/>
          <w:i/>
          <w:iCs/>
          <w:noProof/>
          <w:szCs w:val="24"/>
        </w:rPr>
        <w:t>European Multidisciplinary Journal of Modern Science</w:t>
      </w:r>
      <w:r w:rsidRPr="00F67AB7">
        <w:rPr>
          <w:rFonts w:cs="Times New Roman"/>
          <w:noProof/>
          <w:szCs w:val="24"/>
        </w:rPr>
        <w:t xml:space="preserve">, </w:t>
      </w:r>
      <w:r w:rsidRPr="00F67AB7">
        <w:rPr>
          <w:rFonts w:cs="Times New Roman"/>
          <w:i/>
          <w:iCs/>
          <w:noProof/>
          <w:szCs w:val="24"/>
        </w:rPr>
        <w:t>23</w:t>
      </w:r>
      <w:r w:rsidRPr="00F67AB7">
        <w:rPr>
          <w:rFonts w:cs="Times New Roman"/>
          <w:noProof/>
          <w:szCs w:val="24"/>
        </w:rPr>
        <w:t>(2023), 17–25.</w:t>
      </w:r>
    </w:p>
    <w:p w14:paraId="16416D09"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(2024a). Impact Factors of Global Tax Revenue - Theory of Cycle of Money. </w:t>
      </w:r>
      <w:r w:rsidRPr="00F67AB7">
        <w:rPr>
          <w:rFonts w:cs="Times New Roman"/>
          <w:i/>
          <w:iCs/>
          <w:noProof/>
          <w:szCs w:val="24"/>
        </w:rPr>
        <w:t>International Journal of Multicultural and Multireligious Understanding</w:t>
      </w:r>
      <w:r w:rsidRPr="00F67AB7">
        <w:rPr>
          <w:rFonts w:cs="Times New Roman"/>
          <w:noProof/>
          <w:szCs w:val="24"/>
        </w:rPr>
        <w:t xml:space="preserve">, </w:t>
      </w:r>
      <w:r w:rsidRPr="00F67AB7">
        <w:rPr>
          <w:rFonts w:cs="Times New Roman"/>
          <w:i/>
          <w:iCs/>
          <w:noProof/>
          <w:szCs w:val="24"/>
        </w:rPr>
        <w:t>11</w:t>
      </w:r>
      <w:r w:rsidRPr="00F67AB7">
        <w:rPr>
          <w:rFonts w:cs="Times New Roman"/>
          <w:noProof/>
          <w:szCs w:val="24"/>
        </w:rPr>
        <w:t>(1).</w:t>
      </w:r>
    </w:p>
    <w:p w14:paraId="6700A55E"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(2024b). Rewarding taxes on the cycle of money. In </w:t>
      </w:r>
      <w:r w:rsidRPr="00F67AB7">
        <w:rPr>
          <w:rFonts w:cs="Times New Roman"/>
          <w:i/>
          <w:iCs/>
          <w:noProof/>
          <w:szCs w:val="24"/>
        </w:rPr>
        <w:t>Social and Economic Studies within the Framework of Emerging Global Developments</w:t>
      </w:r>
      <w:r w:rsidRPr="00F67AB7">
        <w:rPr>
          <w:rFonts w:cs="Times New Roman"/>
          <w:noProof/>
          <w:szCs w:val="24"/>
        </w:rPr>
        <w:t xml:space="preserve"> (Vol. 5).</w:t>
      </w:r>
    </w:p>
    <w:p w14:paraId="1ED502B5"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(2024c). The impact factor of Tangibles and Intangibles of controlled transactions on economic performance. </w:t>
      </w:r>
      <w:r w:rsidRPr="00F67AB7">
        <w:rPr>
          <w:rFonts w:cs="Times New Roman"/>
          <w:i/>
          <w:iCs/>
          <w:noProof/>
          <w:szCs w:val="24"/>
        </w:rPr>
        <w:t>Economic Alternatives</w:t>
      </w:r>
      <w:r w:rsidRPr="00F67AB7">
        <w:rPr>
          <w:rFonts w:cs="Times New Roman"/>
          <w:noProof/>
          <w:szCs w:val="24"/>
        </w:rPr>
        <w:t>.</w:t>
      </w:r>
    </w:p>
    <w:p w14:paraId="6CD5A162"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(2024d). THE INFLATION ACCORDING TO THE CYCLE OF MONEY (C.M.). </w:t>
      </w:r>
      <w:r w:rsidRPr="00F67AB7">
        <w:rPr>
          <w:rFonts w:cs="Times New Roman"/>
          <w:i/>
          <w:iCs/>
          <w:noProof/>
          <w:szCs w:val="24"/>
        </w:rPr>
        <w:t>Economic Alternatives</w:t>
      </w:r>
      <w:r w:rsidRPr="00F67AB7">
        <w:rPr>
          <w:rFonts w:cs="Times New Roman"/>
          <w:noProof/>
          <w:szCs w:val="24"/>
        </w:rPr>
        <w:t>.</w:t>
      </w:r>
    </w:p>
    <w:p w14:paraId="5A9D1F51"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(2024e). Velocity of the escaped savings and financial liquidity on maximum mixed savings. </w:t>
      </w:r>
      <w:r w:rsidRPr="00F67AB7">
        <w:rPr>
          <w:rFonts w:cs="Times New Roman"/>
          <w:i/>
          <w:iCs/>
          <w:noProof/>
          <w:szCs w:val="24"/>
        </w:rPr>
        <w:t>Open Journal for Research in Economics</w:t>
      </w:r>
      <w:r w:rsidRPr="00F67AB7">
        <w:rPr>
          <w:rFonts w:cs="Times New Roman"/>
          <w:noProof/>
          <w:szCs w:val="24"/>
        </w:rPr>
        <w:t xml:space="preserve">, </w:t>
      </w:r>
      <w:r w:rsidRPr="00F67AB7">
        <w:rPr>
          <w:rFonts w:cs="Times New Roman"/>
          <w:i/>
          <w:iCs/>
          <w:noProof/>
          <w:szCs w:val="24"/>
        </w:rPr>
        <w:t>7</w:t>
      </w:r>
      <w:r w:rsidRPr="00F67AB7">
        <w:rPr>
          <w:rFonts w:cs="Times New Roman"/>
          <w:noProof/>
          <w:szCs w:val="24"/>
        </w:rPr>
        <w:t>(1).</w:t>
      </w:r>
    </w:p>
    <w:p w14:paraId="58C743DC"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(2024f). Velocity of the escaped savings and financial liquidity on minimum mixed savings. </w:t>
      </w:r>
      <w:r w:rsidRPr="00F67AB7">
        <w:rPr>
          <w:rFonts w:cs="Times New Roman"/>
          <w:i/>
          <w:iCs/>
          <w:noProof/>
          <w:szCs w:val="24"/>
        </w:rPr>
        <w:t>Open Journal for Research in Economics</w:t>
      </w:r>
      <w:r w:rsidRPr="00F67AB7">
        <w:rPr>
          <w:rFonts w:cs="Times New Roman"/>
          <w:noProof/>
          <w:szCs w:val="24"/>
        </w:rPr>
        <w:t xml:space="preserve">, </w:t>
      </w:r>
      <w:r w:rsidRPr="00F67AB7">
        <w:rPr>
          <w:rFonts w:cs="Times New Roman"/>
          <w:i/>
          <w:iCs/>
          <w:noProof/>
          <w:szCs w:val="24"/>
        </w:rPr>
        <w:t>7</w:t>
      </w:r>
      <w:r w:rsidRPr="00F67AB7">
        <w:rPr>
          <w:rFonts w:cs="Times New Roman"/>
          <w:noProof/>
          <w:szCs w:val="24"/>
        </w:rPr>
        <w:t>(2).</w:t>
      </w:r>
    </w:p>
    <w:p w14:paraId="6F833C2A"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Challoumis, C. (2024g). Velocity of the escaped savings and financial liquidity on mixed savings. </w:t>
      </w:r>
      <w:r w:rsidRPr="00F67AB7">
        <w:rPr>
          <w:rFonts w:cs="Times New Roman"/>
          <w:i/>
          <w:iCs/>
          <w:noProof/>
          <w:szCs w:val="24"/>
        </w:rPr>
        <w:t>Open Journal for Research in Economics</w:t>
      </w:r>
      <w:r w:rsidRPr="00F67AB7">
        <w:rPr>
          <w:rFonts w:cs="Times New Roman"/>
          <w:noProof/>
          <w:szCs w:val="24"/>
        </w:rPr>
        <w:t xml:space="preserve">, </w:t>
      </w:r>
      <w:r w:rsidRPr="00F67AB7">
        <w:rPr>
          <w:rFonts w:cs="Times New Roman"/>
          <w:i/>
          <w:iCs/>
          <w:noProof/>
          <w:szCs w:val="24"/>
        </w:rPr>
        <w:t>7</w:t>
      </w:r>
      <w:r w:rsidRPr="00F67AB7">
        <w:rPr>
          <w:rFonts w:cs="Times New Roman"/>
          <w:noProof/>
          <w:szCs w:val="24"/>
        </w:rPr>
        <w:t>(2).</w:t>
      </w:r>
    </w:p>
    <w:p w14:paraId="18A81105"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Constantinos Challoumis. (2023). Elements of the Theory of Cycle of Money without Enforcement Savings. </w:t>
      </w:r>
      <w:r w:rsidRPr="00F67AB7">
        <w:rPr>
          <w:rFonts w:cs="Times New Roman"/>
          <w:i/>
          <w:iCs/>
          <w:noProof/>
          <w:szCs w:val="24"/>
        </w:rPr>
        <w:t>International Journal of Finance and Business Management (IJFBM)Vol. 2No. 1, 2023</w:t>
      </w:r>
      <w:r w:rsidRPr="00F67AB7">
        <w:rPr>
          <w:rFonts w:cs="Times New Roman"/>
          <w:noProof/>
          <w:szCs w:val="24"/>
        </w:rPr>
        <w:t xml:space="preserve">, </w:t>
      </w:r>
      <w:r w:rsidRPr="00F67AB7">
        <w:rPr>
          <w:rFonts w:cs="Times New Roman"/>
          <w:i/>
          <w:iCs/>
          <w:noProof/>
          <w:szCs w:val="24"/>
        </w:rPr>
        <w:t>2</w:t>
      </w:r>
      <w:r w:rsidRPr="00F67AB7">
        <w:rPr>
          <w:rFonts w:cs="Times New Roman"/>
          <w:noProof/>
          <w:szCs w:val="24"/>
        </w:rPr>
        <w:t>(1), 15–28. https://journal.multitechpublisher.com/index.php/ijfbm/article/view/1108/1202</w:t>
      </w:r>
    </w:p>
    <w:p w14:paraId="02A1A6BD"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Constantinos Challoumis. (2024). Approach on arm’s length principle and fix length principle </w:t>
      </w:r>
      <w:r w:rsidRPr="00F67AB7">
        <w:rPr>
          <w:rFonts w:cs="Times New Roman"/>
          <w:noProof/>
          <w:szCs w:val="24"/>
        </w:rPr>
        <w:lastRenderedPageBreak/>
        <w:t xml:space="preserve">mathematical representations. In </w:t>
      </w:r>
      <w:r w:rsidRPr="00F67AB7">
        <w:rPr>
          <w:rFonts w:cs="Times New Roman"/>
          <w:i/>
          <w:iCs/>
          <w:noProof/>
          <w:szCs w:val="24"/>
        </w:rPr>
        <w:t>Innovations and Contemporary Trends in Business &amp; Economics</w:t>
      </w:r>
      <w:r w:rsidRPr="00F67AB7">
        <w:rPr>
          <w:rFonts w:cs="Times New Roman"/>
          <w:noProof/>
          <w:szCs w:val="24"/>
        </w:rPr>
        <w:t>.</w:t>
      </w:r>
    </w:p>
    <w:p w14:paraId="0E8663CD"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Delgado Rodríguez, M. J., &amp; de Lucas Santos, S. (2018). Speed of economic convergence and EU public policy. </w:t>
      </w:r>
      <w:r w:rsidRPr="00F67AB7">
        <w:rPr>
          <w:rFonts w:cs="Times New Roman"/>
          <w:i/>
          <w:iCs/>
          <w:noProof/>
          <w:szCs w:val="24"/>
        </w:rPr>
        <w:t>Cuadernos de Economia</w:t>
      </w:r>
      <w:r w:rsidRPr="00F67AB7">
        <w:rPr>
          <w:rFonts w:cs="Times New Roman"/>
          <w:noProof/>
          <w:szCs w:val="24"/>
        </w:rPr>
        <w:t xml:space="preserve">, </w:t>
      </w:r>
      <w:r w:rsidRPr="00F67AB7">
        <w:rPr>
          <w:rFonts w:cs="Times New Roman"/>
          <w:i/>
          <w:iCs/>
          <w:noProof/>
          <w:szCs w:val="24"/>
        </w:rPr>
        <w:t>41</w:t>
      </w:r>
      <w:r w:rsidRPr="00F67AB7">
        <w:rPr>
          <w:rFonts w:cs="Times New Roman"/>
          <w:noProof/>
          <w:szCs w:val="24"/>
        </w:rPr>
        <w:t>(115). https://doi.org/10.1016/j.cesjef.2017.01.001</w:t>
      </w:r>
    </w:p>
    <w:p w14:paraId="54AF595C"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Deng, Y., &amp; Li, H. (2011). RETRACTED ARTICLE: Measures of public economic policy under the financial crisis in China. In </w:t>
      </w:r>
      <w:r w:rsidRPr="00F67AB7">
        <w:rPr>
          <w:rFonts w:cs="Times New Roman"/>
          <w:i/>
          <w:iCs/>
          <w:noProof/>
          <w:szCs w:val="24"/>
        </w:rPr>
        <w:t>2011 International Conference on E-Business and E-Government, ICEE2011 - Proceedings</w:t>
      </w:r>
      <w:r w:rsidRPr="00F67AB7">
        <w:rPr>
          <w:rFonts w:cs="Times New Roman"/>
          <w:noProof/>
          <w:szCs w:val="24"/>
        </w:rPr>
        <w:t>. https://doi.org/10.1109/ICEBEG.2011.5877027</w:t>
      </w:r>
    </w:p>
    <w:p w14:paraId="6603FD81"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Diallo, S. Y., Shults, F. L. R., &amp; Wildman, W. J. (2021). Minding morality: ethical artificial societies for public policy modeling. </w:t>
      </w:r>
      <w:r w:rsidRPr="00F67AB7">
        <w:rPr>
          <w:rFonts w:cs="Times New Roman"/>
          <w:i/>
          <w:iCs/>
          <w:noProof/>
          <w:szCs w:val="24"/>
        </w:rPr>
        <w:t>AI and Society</w:t>
      </w:r>
      <w:r w:rsidRPr="00F67AB7">
        <w:rPr>
          <w:rFonts w:cs="Times New Roman"/>
          <w:noProof/>
          <w:szCs w:val="24"/>
        </w:rPr>
        <w:t xml:space="preserve">, </w:t>
      </w:r>
      <w:r w:rsidRPr="00F67AB7">
        <w:rPr>
          <w:rFonts w:cs="Times New Roman"/>
          <w:i/>
          <w:iCs/>
          <w:noProof/>
          <w:szCs w:val="24"/>
        </w:rPr>
        <w:t>36</w:t>
      </w:r>
      <w:r w:rsidRPr="00F67AB7">
        <w:rPr>
          <w:rFonts w:cs="Times New Roman"/>
          <w:noProof/>
          <w:szCs w:val="24"/>
        </w:rPr>
        <w:t>(1). https://doi.org/10.1007/s00146-020-01028-5</w:t>
      </w:r>
    </w:p>
    <w:p w14:paraId="42212AF6"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Domingues, J. M., &amp; Pecorelli-Pere, L. A. (2013). Electric vehicles, energy efficiency, taxes, and public policy in Brazil. </w:t>
      </w:r>
      <w:r w:rsidRPr="00F67AB7">
        <w:rPr>
          <w:rFonts w:cs="Times New Roman"/>
          <w:i/>
          <w:iCs/>
          <w:noProof/>
          <w:szCs w:val="24"/>
        </w:rPr>
        <w:t>LAW AND BUSINESS REVIEW OF THE AMERICAS</w:t>
      </w:r>
      <w:r w:rsidRPr="00F67AB7">
        <w:rPr>
          <w:rFonts w:cs="Times New Roman"/>
          <w:noProof/>
          <w:szCs w:val="24"/>
        </w:rPr>
        <w:t xml:space="preserve">, </w:t>
      </w:r>
      <w:r w:rsidRPr="00F67AB7">
        <w:rPr>
          <w:rFonts w:cs="Times New Roman"/>
          <w:i/>
          <w:iCs/>
          <w:noProof/>
          <w:szCs w:val="24"/>
        </w:rPr>
        <w:t>19</w:t>
      </w:r>
      <w:r w:rsidRPr="00F67AB7">
        <w:rPr>
          <w:rFonts w:cs="Times New Roman"/>
          <w:noProof/>
          <w:szCs w:val="24"/>
        </w:rPr>
        <w:t>(55).</w:t>
      </w:r>
    </w:p>
    <w:p w14:paraId="0D79E4D4"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Erickson, K. (2016). Defining the public domain in economic terms - approaches and consequences for policy. In </w:t>
      </w:r>
      <w:r w:rsidRPr="00F67AB7">
        <w:rPr>
          <w:rFonts w:cs="Times New Roman"/>
          <w:i/>
          <w:iCs/>
          <w:noProof/>
          <w:szCs w:val="24"/>
        </w:rPr>
        <w:t>Etikk i Praksis</w:t>
      </w:r>
      <w:r w:rsidRPr="00F67AB7">
        <w:rPr>
          <w:rFonts w:cs="Times New Roman"/>
          <w:noProof/>
          <w:szCs w:val="24"/>
        </w:rPr>
        <w:t xml:space="preserve"> (Vol. 10, Issue 1). https://doi.org/10.5324/eip.v10i1.1951</w:t>
      </w:r>
    </w:p>
    <w:p w14:paraId="184C5B1B"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Evans, W. N., Ringel, J. S., &amp; Stech, D. (1999). Tobacco Taxes and Public Policy to Discourage Smoking. </w:t>
      </w:r>
      <w:r w:rsidRPr="00F67AB7">
        <w:rPr>
          <w:rFonts w:cs="Times New Roman"/>
          <w:i/>
          <w:iCs/>
          <w:noProof/>
          <w:szCs w:val="24"/>
        </w:rPr>
        <w:t>Tax Policy and the Economy</w:t>
      </w:r>
      <w:r w:rsidRPr="00F67AB7">
        <w:rPr>
          <w:rFonts w:cs="Times New Roman"/>
          <w:noProof/>
          <w:szCs w:val="24"/>
        </w:rPr>
        <w:t xml:space="preserve">, </w:t>
      </w:r>
      <w:r w:rsidRPr="00F67AB7">
        <w:rPr>
          <w:rFonts w:cs="Times New Roman"/>
          <w:i/>
          <w:iCs/>
          <w:noProof/>
          <w:szCs w:val="24"/>
        </w:rPr>
        <w:t>13</w:t>
      </w:r>
      <w:r w:rsidRPr="00F67AB7">
        <w:rPr>
          <w:rFonts w:cs="Times New Roman"/>
          <w:noProof/>
          <w:szCs w:val="24"/>
        </w:rPr>
        <w:t>. https://doi.org/10.1086/tpe.13.20061866</w:t>
      </w:r>
    </w:p>
    <w:p w14:paraId="444FD63A"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Ewert, B., Loer, K., &amp; Thomann, E. (2021). Beyond nudge: advancing the state-of-the-art of behavioural public policy and administration. </w:t>
      </w:r>
      <w:r w:rsidRPr="00F67AB7">
        <w:rPr>
          <w:rFonts w:cs="Times New Roman"/>
          <w:i/>
          <w:iCs/>
          <w:noProof/>
          <w:szCs w:val="24"/>
        </w:rPr>
        <w:t>Policy and Politics</w:t>
      </w:r>
      <w:r w:rsidRPr="00F67AB7">
        <w:rPr>
          <w:rFonts w:cs="Times New Roman"/>
          <w:noProof/>
          <w:szCs w:val="24"/>
        </w:rPr>
        <w:t xml:space="preserve">, </w:t>
      </w:r>
      <w:r w:rsidRPr="00F67AB7">
        <w:rPr>
          <w:rFonts w:cs="Times New Roman"/>
          <w:i/>
          <w:iCs/>
          <w:noProof/>
          <w:szCs w:val="24"/>
        </w:rPr>
        <w:t>49</w:t>
      </w:r>
      <w:r w:rsidRPr="00F67AB7">
        <w:rPr>
          <w:rFonts w:cs="Times New Roman"/>
          <w:noProof/>
          <w:szCs w:val="24"/>
        </w:rPr>
        <w:t>(1). https://doi.org/10.1332/030557320X15987279194319</w:t>
      </w:r>
    </w:p>
    <w:p w14:paraId="45DA4A7C"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Fernando, J. (2022). Gross Domestic Product (GDP) Definition. In </w:t>
      </w:r>
      <w:r w:rsidRPr="00F67AB7">
        <w:rPr>
          <w:rFonts w:cs="Times New Roman"/>
          <w:i/>
          <w:iCs/>
          <w:noProof/>
          <w:szCs w:val="24"/>
        </w:rPr>
        <w:t>Investopedia</w:t>
      </w:r>
      <w:r w:rsidRPr="00F67AB7">
        <w:rPr>
          <w:rFonts w:cs="Times New Roman"/>
          <w:noProof/>
          <w:szCs w:val="24"/>
        </w:rPr>
        <w:t>.</w:t>
      </w:r>
    </w:p>
    <w:p w14:paraId="62684199"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Franko, W., Tolbert, C. J., &amp; Witko, C. (2013). Inequality, Self-Interest, and Public Support for “Robin Hood” Tax Policies. </w:t>
      </w:r>
      <w:r w:rsidRPr="00F67AB7">
        <w:rPr>
          <w:rFonts w:cs="Times New Roman"/>
          <w:i/>
          <w:iCs/>
          <w:noProof/>
          <w:szCs w:val="24"/>
        </w:rPr>
        <w:t>Political Research Quarterly</w:t>
      </w:r>
      <w:r w:rsidRPr="00F67AB7">
        <w:rPr>
          <w:rFonts w:cs="Times New Roman"/>
          <w:noProof/>
          <w:szCs w:val="24"/>
        </w:rPr>
        <w:t xml:space="preserve">, </w:t>
      </w:r>
      <w:r w:rsidRPr="00F67AB7">
        <w:rPr>
          <w:rFonts w:cs="Times New Roman"/>
          <w:i/>
          <w:iCs/>
          <w:noProof/>
          <w:szCs w:val="24"/>
        </w:rPr>
        <w:t>66</w:t>
      </w:r>
      <w:r w:rsidRPr="00F67AB7">
        <w:rPr>
          <w:rFonts w:cs="Times New Roman"/>
          <w:noProof/>
          <w:szCs w:val="24"/>
        </w:rPr>
        <w:t>(4). https://doi.org/10.1177/1065912913485441</w:t>
      </w:r>
    </w:p>
    <w:p w14:paraId="54A98085"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Goldsztejn, U., Schwartzman, D., &amp; Nehorai, A. (2020). Public policy and economic dynamics </w:t>
      </w:r>
      <w:r w:rsidRPr="00F67AB7">
        <w:rPr>
          <w:rFonts w:cs="Times New Roman"/>
          <w:noProof/>
          <w:szCs w:val="24"/>
        </w:rPr>
        <w:lastRenderedPageBreak/>
        <w:t xml:space="preserve">of COVID-19 spread: A mathematical modeling study. </w:t>
      </w:r>
      <w:r w:rsidRPr="00F67AB7">
        <w:rPr>
          <w:rFonts w:cs="Times New Roman"/>
          <w:i/>
          <w:iCs/>
          <w:noProof/>
          <w:szCs w:val="24"/>
        </w:rPr>
        <w:t>PLoS ONE</w:t>
      </w:r>
      <w:r w:rsidRPr="00F67AB7">
        <w:rPr>
          <w:rFonts w:cs="Times New Roman"/>
          <w:noProof/>
          <w:szCs w:val="24"/>
        </w:rPr>
        <w:t xml:space="preserve">, </w:t>
      </w:r>
      <w:r w:rsidRPr="00F67AB7">
        <w:rPr>
          <w:rFonts w:cs="Times New Roman"/>
          <w:i/>
          <w:iCs/>
          <w:noProof/>
          <w:szCs w:val="24"/>
        </w:rPr>
        <w:t>15</w:t>
      </w:r>
      <w:r w:rsidRPr="00F67AB7">
        <w:rPr>
          <w:rFonts w:cs="Times New Roman"/>
          <w:noProof/>
          <w:szCs w:val="24"/>
        </w:rPr>
        <w:t>(12 December). https://doi.org/10.1371/journal.pone.0244174</w:t>
      </w:r>
    </w:p>
    <w:p w14:paraId="05B4446A"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Grabs, J., Auld, G., &amp; Cashore, B. (2020). Private regulation, public policy, and the perils of adverse ontological selection. </w:t>
      </w:r>
      <w:r w:rsidRPr="00F67AB7">
        <w:rPr>
          <w:rFonts w:cs="Times New Roman"/>
          <w:i/>
          <w:iCs/>
          <w:noProof/>
          <w:szCs w:val="24"/>
        </w:rPr>
        <w:t>Regulation and Governance</w:t>
      </w:r>
      <w:r w:rsidRPr="00F67AB7">
        <w:rPr>
          <w:rFonts w:cs="Times New Roman"/>
          <w:noProof/>
          <w:szCs w:val="24"/>
        </w:rPr>
        <w:t>. https://doi.org/10.1111/rego.12354</w:t>
      </w:r>
    </w:p>
    <w:p w14:paraId="6FB13EAB"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Grove, A., Sanders, T., Salway, S., Goyder, E., &amp; Hampshaw, S. (2020). A qualitative exploration of evidence-based decision making in public health practice and policy: The perceived usefulness of a diabetes economic model for decision makers. </w:t>
      </w:r>
      <w:r w:rsidRPr="00F67AB7">
        <w:rPr>
          <w:rFonts w:cs="Times New Roman"/>
          <w:i/>
          <w:iCs/>
          <w:noProof/>
          <w:szCs w:val="24"/>
        </w:rPr>
        <w:t>Evidence and Policy</w:t>
      </w:r>
      <w:r w:rsidRPr="00F67AB7">
        <w:rPr>
          <w:rFonts w:cs="Times New Roman"/>
          <w:noProof/>
          <w:szCs w:val="24"/>
        </w:rPr>
        <w:t xml:space="preserve">, </w:t>
      </w:r>
      <w:r w:rsidRPr="00F67AB7">
        <w:rPr>
          <w:rFonts w:cs="Times New Roman"/>
          <w:i/>
          <w:iCs/>
          <w:noProof/>
          <w:szCs w:val="24"/>
        </w:rPr>
        <w:t>15</w:t>
      </w:r>
      <w:r w:rsidRPr="00F67AB7">
        <w:rPr>
          <w:rFonts w:cs="Times New Roman"/>
          <w:noProof/>
          <w:szCs w:val="24"/>
        </w:rPr>
        <w:t>(4). https://doi.org/10.1332/174426418X15245020185055</w:t>
      </w:r>
    </w:p>
    <w:p w14:paraId="7DBE0DBE"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Guardino, M., &amp; Mettler, S. (2020). Revealing the “Hidden welfare state”: How policy information influences public attitudes about tax expenditures. </w:t>
      </w:r>
      <w:r w:rsidRPr="00F67AB7">
        <w:rPr>
          <w:rFonts w:cs="Times New Roman"/>
          <w:i/>
          <w:iCs/>
          <w:noProof/>
          <w:szCs w:val="24"/>
        </w:rPr>
        <w:t>Journal of Behavioral Public Administration</w:t>
      </w:r>
      <w:r w:rsidRPr="00F67AB7">
        <w:rPr>
          <w:rFonts w:cs="Times New Roman"/>
          <w:noProof/>
          <w:szCs w:val="24"/>
        </w:rPr>
        <w:t xml:space="preserve">, </w:t>
      </w:r>
      <w:r w:rsidRPr="00F67AB7">
        <w:rPr>
          <w:rFonts w:cs="Times New Roman"/>
          <w:i/>
          <w:iCs/>
          <w:noProof/>
          <w:szCs w:val="24"/>
        </w:rPr>
        <w:t>3</w:t>
      </w:r>
      <w:r w:rsidRPr="00F67AB7">
        <w:rPr>
          <w:rFonts w:cs="Times New Roman"/>
          <w:noProof/>
          <w:szCs w:val="24"/>
        </w:rPr>
        <w:t>(1). https://doi.org/10.30636/jbpa.31.108</w:t>
      </w:r>
    </w:p>
    <w:p w14:paraId="7F223A51"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GVELESIANI, R. (2019). COMPATIBILITY PROBLEM OF BASIC PUBLIC VALUES WITH ECONOMIC POLICY GOALS AND DECISIONS FOR THEIR IMPLEMENTATION. </w:t>
      </w:r>
      <w:r w:rsidRPr="00F67AB7">
        <w:rPr>
          <w:rFonts w:cs="Times New Roman"/>
          <w:i/>
          <w:iCs/>
          <w:noProof/>
          <w:szCs w:val="24"/>
        </w:rPr>
        <w:t>Globalization and Business</w:t>
      </w:r>
      <w:r w:rsidRPr="00F67AB7">
        <w:rPr>
          <w:rFonts w:cs="Times New Roman"/>
          <w:noProof/>
          <w:szCs w:val="24"/>
        </w:rPr>
        <w:t xml:space="preserve">, </w:t>
      </w:r>
      <w:r w:rsidRPr="00F67AB7">
        <w:rPr>
          <w:rFonts w:cs="Times New Roman"/>
          <w:i/>
          <w:iCs/>
          <w:noProof/>
          <w:szCs w:val="24"/>
        </w:rPr>
        <w:t>4</w:t>
      </w:r>
      <w:r w:rsidRPr="00F67AB7">
        <w:rPr>
          <w:rFonts w:cs="Times New Roman"/>
          <w:noProof/>
          <w:szCs w:val="24"/>
        </w:rPr>
        <w:t>(7). https://doi.org/10.35945/gb.2019.07.004</w:t>
      </w:r>
    </w:p>
    <w:p w14:paraId="5F241ED9"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Hai, D. . (2016). Process of Public Policy Formulation in Developing Countries. </w:t>
      </w:r>
      <w:r w:rsidRPr="00F67AB7">
        <w:rPr>
          <w:rFonts w:cs="Times New Roman"/>
          <w:i/>
          <w:iCs/>
          <w:noProof/>
          <w:szCs w:val="24"/>
        </w:rPr>
        <w:t>Public Policy</w:t>
      </w:r>
      <w:r w:rsidRPr="00F67AB7">
        <w:rPr>
          <w:rFonts w:cs="Times New Roman"/>
          <w:noProof/>
          <w:szCs w:val="24"/>
        </w:rPr>
        <w:t xml:space="preserve">, </w:t>
      </w:r>
      <w:r w:rsidRPr="00F67AB7">
        <w:rPr>
          <w:rFonts w:cs="Times New Roman"/>
          <w:i/>
          <w:iCs/>
          <w:noProof/>
          <w:szCs w:val="24"/>
        </w:rPr>
        <w:t>C</w:t>
      </w:r>
      <w:r w:rsidRPr="00F67AB7">
        <w:rPr>
          <w:rFonts w:cs="Times New Roman"/>
          <w:noProof/>
          <w:szCs w:val="24"/>
        </w:rPr>
        <w:t>.</w:t>
      </w:r>
    </w:p>
    <w:p w14:paraId="07C05A8E"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Hasselman, L., &amp; Stoker, G. (2017). Market-based governance and water management: the limits to economic rationalism in public policy. </w:t>
      </w:r>
      <w:r w:rsidRPr="00F67AB7">
        <w:rPr>
          <w:rFonts w:cs="Times New Roman"/>
          <w:i/>
          <w:iCs/>
          <w:noProof/>
          <w:szCs w:val="24"/>
        </w:rPr>
        <w:t>Policy Studies</w:t>
      </w:r>
      <w:r w:rsidRPr="00F67AB7">
        <w:rPr>
          <w:rFonts w:cs="Times New Roman"/>
          <w:noProof/>
          <w:szCs w:val="24"/>
        </w:rPr>
        <w:t xml:space="preserve">, </w:t>
      </w:r>
      <w:r w:rsidRPr="00F67AB7">
        <w:rPr>
          <w:rFonts w:cs="Times New Roman"/>
          <w:i/>
          <w:iCs/>
          <w:noProof/>
          <w:szCs w:val="24"/>
        </w:rPr>
        <w:t>38</w:t>
      </w:r>
      <w:r w:rsidRPr="00F67AB7">
        <w:rPr>
          <w:rFonts w:cs="Times New Roman"/>
          <w:noProof/>
          <w:szCs w:val="24"/>
        </w:rPr>
        <w:t>(5). https://doi.org/10.1080/01442872.2017.1360437</w:t>
      </w:r>
    </w:p>
    <w:p w14:paraId="795EA664"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Hausman, D., McPherson, M., &amp; Satz, D. (2016). Economic Analysis, Moral Philosophy, and Public Policy. In </w:t>
      </w:r>
      <w:r w:rsidRPr="00F67AB7">
        <w:rPr>
          <w:rFonts w:cs="Times New Roman"/>
          <w:i/>
          <w:iCs/>
          <w:noProof/>
          <w:szCs w:val="24"/>
        </w:rPr>
        <w:t>Economic Analysis, Moral Philosophy, and Public Policy</w:t>
      </w:r>
      <w:r w:rsidRPr="00F67AB7">
        <w:rPr>
          <w:rFonts w:cs="Times New Roman"/>
          <w:noProof/>
          <w:szCs w:val="24"/>
        </w:rPr>
        <w:t>. https://doi.org/10.1017/9781316663011</w:t>
      </w:r>
    </w:p>
    <w:p w14:paraId="3F223BFF"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Holcombe, R. G. (1998). Tax policy from a public choice perspective. </w:t>
      </w:r>
      <w:r w:rsidRPr="00F67AB7">
        <w:rPr>
          <w:rFonts w:cs="Times New Roman"/>
          <w:i/>
          <w:iCs/>
          <w:noProof/>
          <w:szCs w:val="24"/>
        </w:rPr>
        <w:t>National Tax Journal</w:t>
      </w:r>
      <w:r w:rsidRPr="00F67AB7">
        <w:rPr>
          <w:rFonts w:cs="Times New Roman"/>
          <w:noProof/>
          <w:szCs w:val="24"/>
        </w:rPr>
        <w:t xml:space="preserve">, </w:t>
      </w:r>
      <w:r w:rsidRPr="00F67AB7">
        <w:rPr>
          <w:rFonts w:cs="Times New Roman"/>
          <w:i/>
          <w:iCs/>
          <w:noProof/>
          <w:szCs w:val="24"/>
        </w:rPr>
        <w:t>51</w:t>
      </w:r>
      <w:r w:rsidRPr="00F67AB7">
        <w:rPr>
          <w:rFonts w:cs="Times New Roman"/>
          <w:noProof/>
          <w:szCs w:val="24"/>
        </w:rPr>
        <w:t>(2). https://doi.org/10.1086/ntj41789332</w:t>
      </w:r>
    </w:p>
    <w:p w14:paraId="1F646E3F"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Howlett, M. (2020). Challenges in applying design thinking to public policy: Dealing with the </w:t>
      </w:r>
      <w:r w:rsidRPr="00F67AB7">
        <w:rPr>
          <w:rFonts w:cs="Times New Roman"/>
          <w:noProof/>
          <w:szCs w:val="24"/>
        </w:rPr>
        <w:lastRenderedPageBreak/>
        <w:t xml:space="preserve">varieties of policy formulation and their vicissitudes. </w:t>
      </w:r>
      <w:r w:rsidRPr="00F67AB7">
        <w:rPr>
          <w:rFonts w:cs="Times New Roman"/>
          <w:i/>
          <w:iCs/>
          <w:noProof/>
          <w:szCs w:val="24"/>
        </w:rPr>
        <w:t>Policy and Politics</w:t>
      </w:r>
      <w:r w:rsidRPr="00F67AB7">
        <w:rPr>
          <w:rFonts w:cs="Times New Roman"/>
          <w:noProof/>
          <w:szCs w:val="24"/>
        </w:rPr>
        <w:t xml:space="preserve">, </w:t>
      </w:r>
      <w:r w:rsidRPr="00F67AB7">
        <w:rPr>
          <w:rFonts w:cs="Times New Roman"/>
          <w:i/>
          <w:iCs/>
          <w:noProof/>
          <w:szCs w:val="24"/>
        </w:rPr>
        <w:t>48</w:t>
      </w:r>
      <w:r w:rsidRPr="00F67AB7">
        <w:rPr>
          <w:rFonts w:cs="Times New Roman"/>
          <w:noProof/>
          <w:szCs w:val="24"/>
        </w:rPr>
        <w:t>(1). https://doi.org/10.1332/030557319X15613699681219</w:t>
      </w:r>
    </w:p>
    <w:p w14:paraId="6AE61ABC"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Johnston, C. D., &amp; Ballard, A. O. (2016). Economists and public opinion: Expert consensus and economic policy judgments. </w:t>
      </w:r>
      <w:r w:rsidRPr="00F67AB7">
        <w:rPr>
          <w:rFonts w:cs="Times New Roman"/>
          <w:i/>
          <w:iCs/>
          <w:noProof/>
          <w:szCs w:val="24"/>
        </w:rPr>
        <w:t>Journal of Politics</w:t>
      </w:r>
      <w:r w:rsidRPr="00F67AB7">
        <w:rPr>
          <w:rFonts w:cs="Times New Roman"/>
          <w:noProof/>
          <w:szCs w:val="24"/>
        </w:rPr>
        <w:t xml:space="preserve">, </w:t>
      </w:r>
      <w:r w:rsidRPr="00F67AB7">
        <w:rPr>
          <w:rFonts w:cs="Times New Roman"/>
          <w:i/>
          <w:iCs/>
          <w:noProof/>
          <w:szCs w:val="24"/>
        </w:rPr>
        <w:t>78</w:t>
      </w:r>
      <w:r w:rsidRPr="00F67AB7">
        <w:rPr>
          <w:rFonts w:cs="Times New Roman"/>
          <w:noProof/>
          <w:szCs w:val="24"/>
        </w:rPr>
        <w:t>(2). https://doi.org/10.1086/684629</w:t>
      </w:r>
    </w:p>
    <w:p w14:paraId="189C92D0"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Jomo, K. S., &amp; Wee, C. H. (2003). The political economy of Malaysian federalism: Economic development, public policy and conflict containment. </w:t>
      </w:r>
      <w:r w:rsidRPr="00F67AB7">
        <w:rPr>
          <w:rFonts w:cs="Times New Roman"/>
          <w:i/>
          <w:iCs/>
          <w:noProof/>
          <w:szCs w:val="24"/>
        </w:rPr>
        <w:t>Journal of International Development</w:t>
      </w:r>
      <w:r w:rsidRPr="00F67AB7">
        <w:rPr>
          <w:rFonts w:cs="Times New Roman"/>
          <w:noProof/>
          <w:szCs w:val="24"/>
        </w:rPr>
        <w:t xml:space="preserve">, </w:t>
      </w:r>
      <w:r w:rsidRPr="00F67AB7">
        <w:rPr>
          <w:rFonts w:cs="Times New Roman"/>
          <w:i/>
          <w:iCs/>
          <w:noProof/>
          <w:szCs w:val="24"/>
        </w:rPr>
        <w:t>15</w:t>
      </w:r>
      <w:r w:rsidRPr="00F67AB7">
        <w:rPr>
          <w:rFonts w:cs="Times New Roman"/>
          <w:noProof/>
          <w:szCs w:val="24"/>
        </w:rPr>
        <w:t>(4). https://doi.org/10.1002/jid.995</w:t>
      </w:r>
    </w:p>
    <w:p w14:paraId="49B8FA6C"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Kamradt-Scott, A., &amp; McInnes, C. (2012). The securitisation of pandemic influenza: Framing, security and public policy. </w:t>
      </w:r>
      <w:r w:rsidRPr="00F67AB7">
        <w:rPr>
          <w:rFonts w:cs="Times New Roman"/>
          <w:i/>
          <w:iCs/>
          <w:noProof/>
          <w:szCs w:val="24"/>
        </w:rPr>
        <w:t>Global Public Health</w:t>
      </w:r>
      <w:r w:rsidRPr="00F67AB7">
        <w:rPr>
          <w:rFonts w:cs="Times New Roman"/>
          <w:noProof/>
          <w:szCs w:val="24"/>
        </w:rPr>
        <w:t xml:space="preserve">, </w:t>
      </w:r>
      <w:r w:rsidRPr="00F67AB7">
        <w:rPr>
          <w:rFonts w:cs="Times New Roman"/>
          <w:i/>
          <w:iCs/>
          <w:noProof/>
          <w:szCs w:val="24"/>
        </w:rPr>
        <w:t>7</w:t>
      </w:r>
      <w:r w:rsidRPr="00F67AB7">
        <w:rPr>
          <w:rFonts w:cs="Times New Roman"/>
          <w:noProof/>
          <w:szCs w:val="24"/>
        </w:rPr>
        <w:t>(SUPPL. 2). https://doi.org/10.1080/17441692.2012.725752</w:t>
      </w:r>
    </w:p>
    <w:p w14:paraId="586BD84D"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Kananen, J. (2012). International ideas versus national traditions: Nordic economic and public policy as proposed by the OECD. </w:t>
      </w:r>
      <w:r w:rsidRPr="00F67AB7">
        <w:rPr>
          <w:rFonts w:cs="Times New Roman"/>
          <w:i/>
          <w:iCs/>
          <w:noProof/>
          <w:szCs w:val="24"/>
        </w:rPr>
        <w:t>Journal of Political Power</w:t>
      </w:r>
      <w:r w:rsidRPr="00F67AB7">
        <w:rPr>
          <w:rFonts w:cs="Times New Roman"/>
          <w:noProof/>
          <w:szCs w:val="24"/>
        </w:rPr>
        <w:t xml:space="preserve">, </w:t>
      </w:r>
      <w:r w:rsidRPr="00F67AB7">
        <w:rPr>
          <w:rFonts w:cs="Times New Roman"/>
          <w:i/>
          <w:iCs/>
          <w:noProof/>
          <w:szCs w:val="24"/>
        </w:rPr>
        <w:t>5</w:t>
      </w:r>
      <w:r w:rsidRPr="00F67AB7">
        <w:rPr>
          <w:rFonts w:cs="Times New Roman"/>
          <w:noProof/>
          <w:szCs w:val="24"/>
        </w:rPr>
        <w:t>(3). https://doi.org/10.1080/2158379X.2012.735118</w:t>
      </w:r>
    </w:p>
    <w:p w14:paraId="3C55DE5C"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Khadzhyradieva, S., Hrechko, T., &amp; Smalskys, V. (2019). Institutionalisation of behavioural insights in public policy. In </w:t>
      </w:r>
      <w:r w:rsidRPr="00F67AB7">
        <w:rPr>
          <w:rFonts w:cs="Times New Roman"/>
          <w:i/>
          <w:iCs/>
          <w:noProof/>
          <w:szCs w:val="24"/>
        </w:rPr>
        <w:t>Public Policy and Administration</w:t>
      </w:r>
      <w:r w:rsidRPr="00F67AB7">
        <w:rPr>
          <w:rFonts w:cs="Times New Roman"/>
          <w:noProof/>
          <w:szCs w:val="24"/>
        </w:rPr>
        <w:t xml:space="preserve"> (Vol. 18, Issue 3). https://doi.org/10.5755/J01.PPAA.18.3.24726</w:t>
      </w:r>
    </w:p>
    <w:p w14:paraId="454047D6"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Khan, S., &amp; Liu, G. (2019). Socioeconomic and Public Policy Impacts of China Pakistan Economic Corridor on Khyber Pakhtunkhwa. </w:t>
      </w:r>
      <w:r w:rsidRPr="00F67AB7">
        <w:rPr>
          <w:rFonts w:cs="Times New Roman"/>
          <w:i/>
          <w:iCs/>
          <w:noProof/>
          <w:szCs w:val="24"/>
        </w:rPr>
        <w:t>Environmental Management and Sustainable Development</w:t>
      </w:r>
      <w:r w:rsidRPr="00F67AB7">
        <w:rPr>
          <w:rFonts w:cs="Times New Roman"/>
          <w:noProof/>
          <w:szCs w:val="24"/>
        </w:rPr>
        <w:t xml:space="preserve">, </w:t>
      </w:r>
      <w:r w:rsidRPr="00F67AB7">
        <w:rPr>
          <w:rFonts w:cs="Times New Roman"/>
          <w:i/>
          <w:iCs/>
          <w:noProof/>
          <w:szCs w:val="24"/>
        </w:rPr>
        <w:t>8</w:t>
      </w:r>
      <w:r w:rsidRPr="00F67AB7">
        <w:rPr>
          <w:rFonts w:cs="Times New Roman"/>
          <w:noProof/>
          <w:szCs w:val="24"/>
        </w:rPr>
        <w:t>(1). https://doi.org/10.5296/emsd.v8i1.13758</w:t>
      </w:r>
    </w:p>
    <w:p w14:paraId="4E10C378"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Kiktenko, O. V. (2020). ECONOMIC FEATURES OF PUBLIC POLICY IMPLEMENTATION IN THE EDUCATION SYSTEM. </w:t>
      </w:r>
      <w:r w:rsidRPr="00F67AB7">
        <w:rPr>
          <w:rFonts w:cs="Times New Roman"/>
          <w:i/>
          <w:iCs/>
          <w:noProof/>
          <w:szCs w:val="24"/>
        </w:rPr>
        <w:t>State and Regions. Series: Economics and Business</w:t>
      </w:r>
      <w:r w:rsidRPr="00F67AB7">
        <w:rPr>
          <w:rFonts w:cs="Times New Roman"/>
          <w:noProof/>
          <w:szCs w:val="24"/>
        </w:rPr>
        <w:t xml:space="preserve">, </w:t>
      </w:r>
      <w:r w:rsidRPr="00F67AB7">
        <w:rPr>
          <w:rFonts w:cs="Times New Roman"/>
          <w:i/>
          <w:iCs/>
          <w:noProof/>
          <w:szCs w:val="24"/>
        </w:rPr>
        <w:t>2 (113)</w:t>
      </w:r>
      <w:r w:rsidRPr="00F67AB7">
        <w:rPr>
          <w:rFonts w:cs="Times New Roman"/>
          <w:noProof/>
          <w:szCs w:val="24"/>
        </w:rPr>
        <w:t>. https://doi.org/10.32840/1814-1161/2020-2-30</w:t>
      </w:r>
    </w:p>
    <w:p w14:paraId="7427AD8E"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Kongats, K., McGetrick, J. A., Raine, K. D., Voyer, C., &amp; Nykiforuk, C. I. J. (2019). Assessing general public and policy influencer support for healthy public policies to promote healthy eating at the population level in two Canadian provinces. </w:t>
      </w:r>
      <w:r w:rsidRPr="00F67AB7">
        <w:rPr>
          <w:rFonts w:cs="Times New Roman"/>
          <w:i/>
          <w:iCs/>
          <w:noProof/>
          <w:szCs w:val="24"/>
        </w:rPr>
        <w:t>Public Health Nutrition</w:t>
      </w:r>
      <w:r w:rsidRPr="00F67AB7">
        <w:rPr>
          <w:rFonts w:cs="Times New Roman"/>
          <w:noProof/>
          <w:szCs w:val="24"/>
        </w:rPr>
        <w:t xml:space="preserve">, </w:t>
      </w:r>
      <w:r w:rsidRPr="00F67AB7">
        <w:rPr>
          <w:rFonts w:cs="Times New Roman"/>
          <w:i/>
          <w:iCs/>
          <w:noProof/>
          <w:szCs w:val="24"/>
        </w:rPr>
        <w:t>22</w:t>
      </w:r>
      <w:r w:rsidRPr="00F67AB7">
        <w:rPr>
          <w:rFonts w:cs="Times New Roman"/>
          <w:noProof/>
          <w:szCs w:val="24"/>
        </w:rPr>
        <w:t>(8). https://doi.org/10.1017/S1368980018004068</w:t>
      </w:r>
    </w:p>
    <w:p w14:paraId="313A0E0F"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Lajas, R., &amp; Macário, R. (2020). Public policy framework supporting “mobility-as-a-service” </w:t>
      </w:r>
      <w:r w:rsidRPr="00F67AB7">
        <w:rPr>
          <w:rFonts w:cs="Times New Roman"/>
          <w:noProof/>
          <w:szCs w:val="24"/>
        </w:rPr>
        <w:lastRenderedPageBreak/>
        <w:t xml:space="preserve">implementation. </w:t>
      </w:r>
      <w:r w:rsidRPr="00F67AB7">
        <w:rPr>
          <w:rFonts w:cs="Times New Roman"/>
          <w:i/>
          <w:iCs/>
          <w:noProof/>
          <w:szCs w:val="24"/>
        </w:rPr>
        <w:t>Research in Transportation Economics</w:t>
      </w:r>
      <w:r w:rsidRPr="00F67AB7">
        <w:rPr>
          <w:rFonts w:cs="Times New Roman"/>
          <w:noProof/>
          <w:szCs w:val="24"/>
        </w:rPr>
        <w:t xml:space="preserve">, </w:t>
      </w:r>
      <w:r w:rsidRPr="00F67AB7">
        <w:rPr>
          <w:rFonts w:cs="Times New Roman"/>
          <w:i/>
          <w:iCs/>
          <w:noProof/>
          <w:szCs w:val="24"/>
        </w:rPr>
        <w:t>83</w:t>
      </w:r>
      <w:r w:rsidRPr="00F67AB7">
        <w:rPr>
          <w:rFonts w:cs="Times New Roman"/>
          <w:noProof/>
          <w:szCs w:val="24"/>
        </w:rPr>
        <w:t>. https://doi.org/10.1016/j.retrec.2020.100905</w:t>
      </w:r>
    </w:p>
    <w:p w14:paraId="1B3A1777"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Laplane, A., &amp; Mazzucato, M. (2020). Socializing the risks and rewards of public investments: Economic, policy, and legal issues. </w:t>
      </w:r>
      <w:r w:rsidRPr="00F67AB7">
        <w:rPr>
          <w:rFonts w:cs="Times New Roman"/>
          <w:i/>
          <w:iCs/>
          <w:noProof/>
          <w:szCs w:val="24"/>
        </w:rPr>
        <w:t>Research Policy: X</w:t>
      </w:r>
      <w:r w:rsidRPr="00F67AB7">
        <w:rPr>
          <w:rFonts w:cs="Times New Roman"/>
          <w:noProof/>
          <w:szCs w:val="24"/>
        </w:rPr>
        <w:t xml:space="preserve">, </w:t>
      </w:r>
      <w:r w:rsidRPr="00F67AB7">
        <w:rPr>
          <w:rFonts w:cs="Times New Roman"/>
          <w:i/>
          <w:iCs/>
          <w:noProof/>
          <w:szCs w:val="24"/>
        </w:rPr>
        <w:t>2</w:t>
      </w:r>
      <w:r w:rsidRPr="00F67AB7">
        <w:rPr>
          <w:rFonts w:cs="Times New Roman"/>
          <w:noProof/>
          <w:szCs w:val="24"/>
        </w:rPr>
        <w:t>. https://doi.org/10.1016/j.repolx.2020.100008</w:t>
      </w:r>
    </w:p>
    <w:p w14:paraId="1EA2E4AF"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Loayza, N., &amp; Pennings, S. M. (2020). Macroeconomic Policy in the Time of COVID-19 : A Primer for Developing Countries. </w:t>
      </w:r>
      <w:r w:rsidRPr="00F67AB7">
        <w:rPr>
          <w:rFonts w:cs="Times New Roman"/>
          <w:i/>
          <w:iCs/>
          <w:noProof/>
          <w:szCs w:val="24"/>
        </w:rPr>
        <w:t>World Bank Research and Policy Briefs</w:t>
      </w:r>
      <w:r w:rsidRPr="00F67AB7">
        <w:rPr>
          <w:rFonts w:cs="Times New Roman"/>
          <w:noProof/>
          <w:szCs w:val="24"/>
        </w:rPr>
        <w:t xml:space="preserve">, </w:t>
      </w:r>
      <w:r w:rsidRPr="00F67AB7">
        <w:rPr>
          <w:rFonts w:cs="Times New Roman"/>
          <w:i/>
          <w:iCs/>
          <w:noProof/>
          <w:szCs w:val="24"/>
        </w:rPr>
        <w:t>147291</w:t>
      </w:r>
      <w:r w:rsidRPr="00F67AB7">
        <w:rPr>
          <w:rFonts w:cs="Times New Roman"/>
          <w:noProof/>
          <w:szCs w:val="24"/>
        </w:rPr>
        <w:t>.</w:t>
      </w:r>
    </w:p>
    <w:p w14:paraId="6A2BC6BE"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Marume, S. B. M. (2016). Public Policy and Factors Influencing Public Policy. </w:t>
      </w:r>
      <w:r w:rsidRPr="00F67AB7">
        <w:rPr>
          <w:rFonts w:cs="Times New Roman"/>
          <w:i/>
          <w:iCs/>
          <w:noProof/>
          <w:szCs w:val="24"/>
        </w:rPr>
        <w:t>International Journal of Engineering Science Invention</w:t>
      </w:r>
      <w:r w:rsidRPr="00F67AB7">
        <w:rPr>
          <w:rFonts w:cs="Times New Roman"/>
          <w:noProof/>
          <w:szCs w:val="24"/>
        </w:rPr>
        <w:t xml:space="preserve">, </w:t>
      </w:r>
      <w:r w:rsidRPr="00F67AB7">
        <w:rPr>
          <w:rFonts w:cs="Times New Roman"/>
          <w:i/>
          <w:iCs/>
          <w:noProof/>
          <w:szCs w:val="24"/>
        </w:rPr>
        <w:t>5</w:t>
      </w:r>
      <w:r w:rsidRPr="00F67AB7">
        <w:rPr>
          <w:rFonts w:cs="Times New Roman"/>
          <w:noProof/>
          <w:szCs w:val="24"/>
        </w:rPr>
        <w:t>(6).</w:t>
      </w:r>
    </w:p>
    <w:p w14:paraId="2C745791"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Maxwell, J. A. (2020). The Value of Qualitative Inquiry for Public Policy. </w:t>
      </w:r>
      <w:r w:rsidRPr="00F67AB7">
        <w:rPr>
          <w:rFonts w:cs="Times New Roman"/>
          <w:i/>
          <w:iCs/>
          <w:noProof/>
          <w:szCs w:val="24"/>
        </w:rPr>
        <w:t>Qualitative Inquiry</w:t>
      </w:r>
      <w:r w:rsidRPr="00F67AB7">
        <w:rPr>
          <w:rFonts w:cs="Times New Roman"/>
          <w:noProof/>
          <w:szCs w:val="24"/>
        </w:rPr>
        <w:t xml:space="preserve">, </w:t>
      </w:r>
      <w:r w:rsidRPr="00F67AB7">
        <w:rPr>
          <w:rFonts w:cs="Times New Roman"/>
          <w:i/>
          <w:iCs/>
          <w:noProof/>
          <w:szCs w:val="24"/>
        </w:rPr>
        <w:t>26</w:t>
      </w:r>
      <w:r w:rsidRPr="00F67AB7">
        <w:rPr>
          <w:rFonts w:cs="Times New Roman"/>
          <w:noProof/>
          <w:szCs w:val="24"/>
        </w:rPr>
        <w:t>(2). https://doi.org/10.1177/1077800419857093</w:t>
      </w:r>
    </w:p>
    <w:p w14:paraId="065028C6"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Menguy, S. (2020). Tax competition, fiscal policy, and public debt levels in a monetary union. </w:t>
      </w:r>
      <w:r w:rsidRPr="00F67AB7">
        <w:rPr>
          <w:rFonts w:cs="Times New Roman"/>
          <w:i/>
          <w:iCs/>
          <w:noProof/>
          <w:szCs w:val="24"/>
        </w:rPr>
        <w:t>Journal of Economic Integration</w:t>
      </w:r>
      <w:r w:rsidRPr="00F67AB7">
        <w:rPr>
          <w:rFonts w:cs="Times New Roman"/>
          <w:noProof/>
          <w:szCs w:val="24"/>
        </w:rPr>
        <w:t xml:space="preserve">, </w:t>
      </w:r>
      <w:r w:rsidRPr="00F67AB7">
        <w:rPr>
          <w:rFonts w:cs="Times New Roman"/>
          <w:i/>
          <w:iCs/>
          <w:noProof/>
          <w:szCs w:val="24"/>
        </w:rPr>
        <w:t>35</w:t>
      </w:r>
      <w:r w:rsidRPr="00F67AB7">
        <w:rPr>
          <w:rFonts w:cs="Times New Roman"/>
          <w:noProof/>
          <w:szCs w:val="24"/>
        </w:rPr>
        <w:t>(3). https://doi.org/10.11130/jei.2020.35.3.353</w:t>
      </w:r>
    </w:p>
    <w:p w14:paraId="4C38F844"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Miailhe, N. (2017). Economic, Social and Public Policy Opportunities enabled by Automation. </w:t>
      </w:r>
      <w:r w:rsidRPr="00F67AB7">
        <w:rPr>
          <w:rFonts w:cs="Times New Roman"/>
          <w:i/>
          <w:iCs/>
          <w:noProof/>
          <w:szCs w:val="24"/>
        </w:rPr>
        <w:t>Field Actions Science Reports. The Journal of Field Actions</w:t>
      </w:r>
      <w:r w:rsidRPr="00F67AB7">
        <w:rPr>
          <w:rFonts w:cs="Times New Roman"/>
          <w:noProof/>
          <w:szCs w:val="24"/>
        </w:rPr>
        <w:t xml:space="preserve">, </w:t>
      </w:r>
      <w:r w:rsidRPr="00F67AB7">
        <w:rPr>
          <w:rFonts w:cs="Times New Roman"/>
          <w:i/>
          <w:iCs/>
          <w:noProof/>
          <w:szCs w:val="24"/>
        </w:rPr>
        <w:t>Special Issue 17</w:t>
      </w:r>
      <w:r w:rsidRPr="00F67AB7">
        <w:rPr>
          <w:rFonts w:cs="Times New Roman"/>
          <w:noProof/>
          <w:szCs w:val="24"/>
        </w:rPr>
        <w:t>.</w:t>
      </w:r>
    </w:p>
    <w:p w14:paraId="4099155B"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Michener, J., &amp; Brower, M. T. (2020). What’s policy got to do with it? Race, gender &amp; economic inequality in the United States. </w:t>
      </w:r>
      <w:r w:rsidRPr="00F67AB7">
        <w:rPr>
          <w:rFonts w:cs="Times New Roman"/>
          <w:i/>
          <w:iCs/>
          <w:noProof/>
          <w:szCs w:val="24"/>
        </w:rPr>
        <w:t>Daedalus</w:t>
      </w:r>
      <w:r w:rsidRPr="00F67AB7">
        <w:rPr>
          <w:rFonts w:cs="Times New Roman"/>
          <w:noProof/>
          <w:szCs w:val="24"/>
        </w:rPr>
        <w:t xml:space="preserve">, </w:t>
      </w:r>
      <w:r w:rsidRPr="00F67AB7">
        <w:rPr>
          <w:rFonts w:cs="Times New Roman"/>
          <w:i/>
          <w:iCs/>
          <w:noProof/>
          <w:szCs w:val="24"/>
        </w:rPr>
        <w:t>149</w:t>
      </w:r>
      <w:r w:rsidRPr="00F67AB7">
        <w:rPr>
          <w:rFonts w:cs="Times New Roman"/>
          <w:noProof/>
          <w:szCs w:val="24"/>
        </w:rPr>
        <w:t>(1). https://doi.org/10.1162/DAED_a_01776</w:t>
      </w:r>
    </w:p>
    <w:p w14:paraId="4BD516EE"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Miljand, M. (2020). Using systematic review methods to evaluate environmental public policy: methodological challenges and potential usefulness. </w:t>
      </w:r>
      <w:r w:rsidRPr="00F67AB7">
        <w:rPr>
          <w:rFonts w:cs="Times New Roman"/>
          <w:i/>
          <w:iCs/>
          <w:noProof/>
          <w:szCs w:val="24"/>
        </w:rPr>
        <w:t>Environmental Science and Policy</w:t>
      </w:r>
      <w:r w:rsidRPr="00F67AB7">
        <w:rPr>
          <w:rFonts w:cs="Times New Roman"/>
          <w:noProof/>
          <w:szCs w:val="24"/>
        </w:rPr>
        <w:t xml:space="preserve">, </w:t>
      </w:r>
      <w:r w:rsidRPr="00F67AB7">
        <w:rPr>
          <w:rFonts w:cs="Times New Roman"/>
          <w:i/>
          <w:iCs/>
          <w:noProof/>
          <w:szCs w:val="24"/>
        </w:rPr>
        <w:t>105</w:t>
      </w:r>
      <w:r w:rsidRPr="00F67AB7">
        <w:rPr>
          <w:rFonts w:cs="Times New Roman"/>
          <w:noProof/>
          <w:szCs w:val="24"/>
        </w:rPr>
        <w:t>. https://doi.org/10.1016/j.envsci.2019.12.008</w:t>
      </w:r>
    </w:p>
    <w:p w14:paraId="48DD7E41"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Mueller, B. (2020). Why public policies fail: Policymaking under complexity. </w:t>
      </w:r>
      <w:r w:rsidRPr="00F67AB7">
        <w:rPr>
          <w:rFonts w:cs="Times New Roman"/>
          <w:i/>
          <w:iCs/>
          <w:noProof/>
          <w:szCs w:val="24"/>
        </w:rPr>
        <w:t>EconomiA</w:t>
      </w:r>
      <w:r w:rsidRPr="00F67AB7">
        <w:rPr>
          <w:rFonts w:cs="Times New Roman"/>
          <w:noProof/>
          <w:szCs w:val="24"/>
        </w:rPr>
        <w:t xml:space="preserve">, </w:t>
      </w:r>
      <w:r w:rsidRPr="00F67AB7">
        <w:rPr>
          <w:rFonts w:cs="Times New Roman"/>
          <w:i/>
          <w:iCs/>
          <w:noProof/>
          <w:szCs w:val="24"/>
        </w:rPr>
        <w:t>21</w:t>
      </w:r>
      <w:r w:rsidRPr="00F67AB7">
        <w:rPr>
          <w:rFonts w:cs="Times New Roman"/>
          <w:noProof/>
          <w:szCs w:val="24"/>
        </w:rPr>
        <w:t>(2). https://doi.org/10.1016/j.econ.2019.11.002</w:t>
      </w:r>
    </w:p>
    <w:p w14:paraId="74415CA0"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Nash, V., Bright, J., Margetts, H., &amp; Lehdonvirta, V. (2017). Public Policy in the Platform Society. In </w:t>
      </w:r>
      <w:r w:rsidRPr="00F67AB7">
        <w:rPr>
          <w:rFonts w:cs="Times New Roman"/>
          <w:i/>
          <w:iCs/>
          <w:noProof/>
          <w:szCs w:val="24"/>
        </w:rPr>
        <w:t>Policy and Internet</w:t>
      </w:r>
      <w:r w:rsidRPr="00F67AB7">
        <w:rPr>
          <w:rFonts w:cs="Times New Roman"/>
          <w:noProof/>
          <w:szCs w:val="24"/>
        </w:rPr>
        <w:t xml:space="preserve"> (Vol. 9, Issue 4). https://doi.org/10.1002/poi3.165</w:t>
      </w:r>
    </w:p>
    <w:p w14:paraId="0A8B5E3D"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Nayak, B. S. (2019). Reconceptualising Public Private Partnerships (PPPs) in global public </w:t>
      </w:r>
      <w:r w:rsidRPr="00F67AB7">
        <w:rPr>
          <w:rFonts w:cs="Times New Roman"/>
          <w:noProof/>
          <w:szCs w:val="24"/>
        </w:rPr>
        <w:lastRenderedPageBreak/>
        <w:t xml:space="preserve">policy. </w:t>
      </w:r>
      <w:r w:rsidRPr="00F67AB7">
        <w:rPr>
          <w:rFonts w:cs="Times New Roman"/>
          <w:i/>
          <w:iCs/>
          <w:noProof/>
          <w:szCs w:val="24"/>
        </w:rPr>
        <w:t>World Journal of Entrepreneurship, Management and Sustainable Development</w:t>
      </w:r>
      <w:r w:rsidRPr="00F67AB7">
        <w:rPr>
          <w:rFonts w:cs="Times New Roman"/>
          <w:noProof/>
          <w:szCs w:val="24"/>
        </w:rPr>
        <w:t xml:space="preserve">, </w:t>
      </w:r>
      <w:r w:rsidRPr="00F67AB7">
        <w:rPr>
          <w:rFonts w:cs="Times New Roman"/>
          <w:i/>
          <w:iCs/>
          <w:noProof/>
          <w:szCs w:val="24"/>
        </w:rPr>
        <w:t>15</w:t>
      </w:r>
      <w:r w:rsidRPr="00F67AB7">
        <w:rPr>
          <w:rFonts w:cs="Times New Roman"/>
          <w:noProof/>
          <w:szCs w:val="24"/>
        </w:rPr>
        <w:t>(3). https://doi.org/10.1108/WJEMSD-04-2018-0041</w:t>
      </w:r>
    </w:p>
    <w:p w14:paraId="1FAB043B"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OECD, E. (2020). SME Policy Index - Eastern Partner Countries 2020 ASSESSING THE IMPLEMENTATION OF THE SMALL BUSINESS ACT FOR EUROPE. In </w:t>
      </w:r>
      <w:r w:rsidRPr="00F67AB7">
        <w:rPr>
          <w:rFonts w:cs="Times New Roman"/>
          <w:i/>
          <w:iCs/>
          <w:noProof/>
          <w:szCs w:val="24"/>
        </w:rPr>
        <w:t>OECD</w:t>
      </w:r>
      <w:r w:rsidRPr="00F67AB7">
        <w:rPr>
          <w:rFonts w:cs="Times New Roman"/>
          <w:noProof/>
          <w:szCs w:val="24"/>
        </w:rPr>
        <w:t>.</w:t>
      </w:r>
    </w:p>
    <w:p w14:paraId="7ECE1C81"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Oueslati, W. (2015). Growth and welfare effects of environmental tax reform and public spending policy. </w:t>
      </w:r>
      <w:r w:rsidRPr="00F67AB7">
        <w:rPr>
          <w:rFonts w:cs="Times New Roman"/>
          <w:i/>
          <w:iCs/>
          <w:noProof/>
          <w:szCs w:val="24"/>
        </w:rPr>
        <w:t>Economic Modelling</w:t>
      </w:r>
      <w:r w:rsidRPr="00F67AB7">
        <w:rPr>
          <w:rFonts w:cs="Times New Roman"/>
          <w:noProof/>
          <w:szCs w:val="24"/>
        </w:rPr>
        <w:t xml:space="preserve">, </w:t>
      </w:r>
      <w:r w:rsidRPr="00F67AB7">
        <w:rPr>
          <w:rFonts w:cs="Times New Roman"/>
          <w:i/>
          <w:iCs/>
          <w:noProof/>
          <w:szCs w:val="24"/>
        </w:rPr>
        <w:t>45</w:t>
      </w:r>
      <w:r w:rsidRPr="00F67AB7">
        <w:rPr>
          <w:rFonts w:cs="Times New Roman"/>
          <w:noProof/>
          <w:szCs w:val="24"/>
        </w:rPr>
        <w:t>. https://doi.org/10.1016/j.econmod.2014.10.040</w:t>
      </w:r>
    </w:p>
    <w:p w14:paraId="44286F3C"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Rasmussen, K., &amp; Callan, D. (2016). Schools of public policy and executive education: An opportunity missed? </w:t>
      </w:r>
      <w:r w:rsidRPr="00F67AB7">
        <w:rPr>
          <w:rFonts w:cs="Times New Roman"/>
          <w:i/>
          <w:iCs/>
          <w:noProof/>
          <w:szCs w:val="24"/>
        </w:rPr>
        <w:t>Policy and Society</w:t>
      </w:r>
      <w:r w:rsidRPr="00F67AB7">
        <w:rPr>
          <w:rFonts w:cs="Times New Roman"/>
          <w:noProof/>
          <w:szCs w:val="24"/>
        </w:rPr>
        <w:t xml:space="preserve">, </w:t>
      </w:r>
      <w:r w:rsidRPr="00F67AB7">
        <w:rPr>
          <w:rFonts w:cs="Times New Roman"/>
          <w:i/>
          <w:iCs/>
          <w:noProof/>
          <w:szCs w:val="24"/>
        </w:rPr>
        <w:t>35</w:t>
      </w:r>
      <w:r w:rsidRPr="00F67AB7">
        <w:rPr>
          <w:rFonts w:cs="Times New Roman"/>
          <w:noProof/>
          <w:szCs w:val="24"/>
        </w:rPr>
        <w:t>(4). https://doi.org/10.1016/j.polsoc.2016.12.002</w:t>
      </w:r>
    </w:p>
    <w:p w14:paraId="5E4019B3"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Ribašauskiene, E., Šumyle, D., Volkov, A., Baležentis, T., Streimikiene, D., &amp; Morkunas, M. (2019). Evaluating public policy support for agricultural cooperatives. </w:t>
      </w:r>
      <w:r w:rsidRPr="00F67AB7">
        <w:rPr>
          <w:rFonts w:cs="Times New Roman"/>
          <w:i/>
          <w:iCs/>
          <w:noProof/>
          <w:szCs w:val="24"/>
        </w:rPr>
        <w:t>Sustainability (Switzerland)</w:t>
      </w:r>
      <w:r w:rsidRPr="00F67AB7">
        <w:rPr>
          <w:rFonts w:cs="Times New Roman"/>
          <w:noProof/>
          <w:szCs w:val="24"/>
        </w:rPr>
        <w:t xml:space="preserve">, </w:t>
      </w:r>
      <w:r w:rsidRPr="00F67AB7">
        <w:rPr>
          <w:rFonts w:cs="Times New Roman"/>
          <w:i/>
          <w:iCs/>
          <w:noProof/>
          <w:szCs w:val="24"/>
        </w:rPr>
        <w:t>11</w:t>
      </w:r>
      <w:r w:rsidRPr="00F67AB7">
        <w:rPr>
          <w:rFonts w:cs="Times New Roman"/>
          <w:noProof/>
          <w:szCs w:val="24"/>
        </w:rPr>
        <w:t>(14). https://doi.org/10.3390/su11143769</w:t>
      </w:r>
    </w:p>
    <w:p w14:paraId="5C26DE1D"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Sánchez, J. M., Rodríguez, J. P., &amp; Espitia, H. E. (2020). Review of artificial intelligence applied in decision-making processes in agricultural public policy. In </w:t>
      </w:r>
      <w:r w:rsidRPr="00F67AB7">
        <w:rPr>
          <w:rFonts w:cs="Times New Roman"/>
          <w:i/>
          <w:iCs/>
          <w:noProof/>
          <w:szCs w:val="24"/>
        </w:rPr>
        <w:t>Processes</w:t>
      </w:r>
      <w:r w:rsidRPr="00F67AB7">
        <w:rPr>
          <w:rFonts w:cs="Times New Roman"/>
          <w:noProof/>
          <w:szCs w:val="24"/>
        </w:rPr>
        <w:t xml:space="preserve"> (Vol. 8, Issue 11). https://doi.org/10.3390/pr8111374</w:t>
      </w:r>
    </w:p>
    <w:p w14:paraId="5A23E290"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Schram, A. (2018). When evidence isn’t enough: Ideological, institutional, and interest-based constraints on achieving trade and health policy coherence. </w:t>
      </w:r>
      <w:r w:rsidRPr="00F67AB7">
        <w:rPr>
          <w:rFonts w:cs="Times New Roman"/>
          <w:i/>
          <w:iCs/>
          <w:noProof/>
          <w:szCs w:val="24"/>
        </w:rPr>
        <w:t>Global Social Policy</w:t>
      </w:r>
      <w:r w:rsidRPr="00F67AB7">
        <w:rPr>
          <w:rFonts w:cs="Times New Roman"/>
          <w:noProof/>
          <w:szCs w:val="24"/>
        </w:rPr>
        <w:t xml:space="preserve">, </w:t>
      </w:r>
      <w:r w:rsidRPr="00F67AB7">
        <w:rPr>
          <w:rFonts w:cs="Times New Roman"/>
          <w:i/>
          <w:iCs/>
          <w:noProof/>
          <w:szCs w:val="24"/>
        </w:rPr>
        <w:t>18</w:t>
      </w:r>
      <w:r w:rsidRPr="00F67AB7">
        <w:rPr>
          <w:rFonts w:cs="Times New Roman"/>
          <w:noProof/>
          <w:szCs w:val="24"/>
        </w:rPr>
        <w:t>(1). https://doi.org/10.1177/1468018117744153</w:t>
      </w:r>
    </w:p>
    <w:p w14:paraId="2DB79AF6"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Schwartz, M. (2019). Social and Economic Public Policy Goals and Their Impact on Defense Acquisition—A 2019 Update. </w:t>
      </w:r>
      <w:r w:rsidRPr="00F67AB7">
        <w:rPr>
          <w:rFonts w:cs="Times New Roman"/>
          <w:i/>
          <w:iCs/>
          <w:noProof/>
          <w:szCs w:val="24"/>
        </w:rPr>
        <w:t>Defense Acquisition Research Journal</w:t>
      </w:r>
      <w:r w:rsidRPr="00F67AB7">
        <w:rPr>
          <w:rFonts w:cs="Times New Roman"/>
          <w:noProof/>
          <w:szCs w:val="24"/>
        </w:rPr>
        <w:t xml:space="preserve">, </w:t>
      </w:r>
      <w:r w:rsidRPr="00F67AB7">
        <w:rPr>
          <w:rFonts w:cs="Times New Roman"/>
          <w:i/>
          <w:iCs/>
          <w:noProof/>
          <w:szCs w:val="24"/>
        </w:rPr>
        <w:t>26</w:t>
      </w:r>
      <w:r w:rsidRPr="00F67AB7">
        <w:rPr>
          <w:rFonts w:cs="Times New Roman"/>
          <w:noProof/>
          <w:szCs w:val="24"/>
        </w:rPr>
        <w:t>(3). https://doi.org/10.22594/dau.19-827.26.03</w:t>
      </w:r>
    </w:p>
    <w:p w14:paraId="77C09160"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Snow, M. S. (1988). Telecommunications literature. A critical review of the economic, technological and public policy issues. </w:t>
      </w:r>
      <w:r w:rsidRPr="00F67AB7">
        <w:rPr>
          <w:rFonts w:cs="Times New Roman"/>
          <w:i/>
          <w:iCs/>
          <w:noProof/>
          <w:szCs w:val="24"/>
        </w:rPr>
        <w:t>Telecommunications Policy</w:t>
      </w:r>
      <w:r w:rsidRPr="00F67AB7">
        <w:rPr>
          <w:rFonts w:cs="Times New Roman"/>
          <w:noProof/>
          <w:szCs w:val="24"/>
        </w:rPr>
        <w:t xml:space="preserve">, </w:t>
      </w:r>
      <w:r w:rsidRPr="00F67AB7">
        <w:rPr>
          <w:rFonts w:cs="Times New Roman"/>
          <w:i/>
          <w:iCs/>
          <w:noProof/>
          <w:szCs w:val="24"/>
        </w:rPr>
        <w:t>12</w:t>
      </w:r>
      <w:r w:rsidRPr="00F67AB7">
        <w:rPr>
          <w:rFonts w:cs="Times New Roman"/>
          <w:noProof/>
          <w:szCs w:val="24"/>
        </w:rPr>
        <w:t>(2). https://doi.org/10.1016/0308-5961(88)90007-9</w:t>
      </w:r>
    </w:p>
    <w:p w14:paraId="3196110D"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Spiel, C., Schober, B., &amp; Strohmeier, D. (2018). Implementing intervention research into public policy—the “I3-approach.” </w:t>
      </w:r>
      <w:r w:rsidRPr="00F67AB7">
        <w:rPr>
          <w:rFonts w:cs="Times New Roman"/>
          <w:i/>
          <w:iCs/>
          <w:noProof/>
          <w:szCs w:val="24"/>
        </w:rPr>
        <w:t>Prevention Science</w:t>
      </w:r>
      <w:r w:rsidRPr="00F67AB7">
        <w:rPr>
          <w:rFonts w:cs="Times New Roman"/>
          <w:noProof/>
          <w:szCs w:val="24"/>
        </w:rPr>
        <w:t xml:space="preserve">, </w:t>
      </w:r>
      <w:r w:rsidRPr="00F67AB7">
        <w:rPr>
          <w:rFonts w:cs="Times New Roman"/>
          <w:i/>
          <w:iCs/>
          <w:noProof/>
          <w:szCs w:val="24"/>
        </w:rPr>
        <w:t>19</w:t>
      </w:r>
      <w:r w:rsidRPr="00F67AB7">
        <w:rPr>
          <w:rFonts w:cs="Times New Roman"/>
          <w:noProof/>
          <w:szCs w:val="24"/>
        </w:rPr>
        <w:t>(3). https://doi.org/10.1007/s11121-016-0638-3</w:t>
      </w:r>
    </w:p>
    <w:p w14:paraId="6518FF41"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lastRenderedPageBreak/>
        <w:t xml:space="preserve">Stone, D. (2008). Global public policy, transnational policy communities, and their networks. </w:t>
      </w:r>
      <w:r w:rsidRPr="00F67AB7">
        <w:rPr>
          <w:rFonts w:cs="Times New Roman"/>
          <w:i/>
          <w:iCs/>
          <w:noProof/>
          <w:szCs w:val="24"/>
        </w:rPr>
        <w:t>Policy Studies Journal</w:t>
      </w:r>
      <w:r w:rsidRPr="00F67AB7">
        <w:rPr>
          <w:rFonts w:cs="Times New Roman"/>
          <w:noProof/>
          <w:szCs w:val="24"/>
        </w:rPr>
        <w:t xml:space="preserve">, </w:t>
      </w:r>
      <w:r w:rsidRPr="00F67AB7">
        <w:rPr>
          <w:rFonts w:cs="Times New Roman"/>
          <w:i/>
          <w:iCs/>
          <w:noProof/>
          <w:szCs w:val="24"/>
        </w:rPr>
        <w:t>36</w:t>
      </w:r>
      <w:r w:rsidRPr="00F67AB7">
        <w:rPr>
          <w:rFonts w:cs="Times New Roman"/>
          <w:noProof/>
          <w:szCs w:val="24"/>
        </w:rPr>
        <w:t>(1). https://doi.org/10.1111/j.1541-0072.2007.00251.x</w:t>
      </w:r>
    </w:p>
    <w:p w14:paraId="0B055129"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Strassheim, H. (2019). Behavioural mechanisms and public policy design: Preventing failures in behavioural public policy. </w:t>
      </w:r>
      <w:r w:rsidRPr="00F67AB7">
        <w:rPr>
          <w:rFonts w:cs="Times New Roman"/>
          <w:i/>
          <w:iCs/>
          <w:noProof/>
          <w:szCs w:val="24"/>
        </w:rPr>
        <w:t>Public Policy and Administration</w:t>
      </w:r>
      <w:r w:rsidRPr="00F67AB7">
        <w:rPr>
          <w:rFonts w:cs="Times New Roman"/>
          <w:noProof/>
          <w:szCs w:val="24"/>
        </w:rPr>
        <w:t>. https://doi.org/10.1177/0952076719827062</w:t>
      </w:r>
    </w:p>
    <w:p w14:paraId="66073EA0"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Sultana, A., Or Rashid, M. H., Akter Eva, S., &amp; Sultana, A. (2020). Assessment of Relationship Among Regional Economic Development Policy, Urban Development Policy and Public Policy. </w:t>
      </w:r>
      <w:r w:rsidRPr="00F67AB7">
        <w:rPr>
          <w:rFonts w:cs="Times New Roman"/>
          <w:i/>
          <w:iCs/>
          <w:noProof/>
          <w:szCs w:val="24"/>
        </w:rPr>
        <w:t>Sumerianz Journal of Economics and Finance</w:t>
      </w:r>
      <w:r w:rsidRPr="00F67AB7">
        <w:rPr>
          <w:rFonts w:cs="Times New Roman"/>
          <w:noProof/>
          <w:szCs w:val="24"/>
        </w:rPr>
        <w:t xml:space="preserve">, </w:t>
      </w:r>
      <w:r w:rsidRPr="00F67AB7">
        <w:rPr>
          <w:rFonts w:cs="Times New Roman"/>
          <w:i/>
          <w:iCs/>
          <w:noProof/>
          <w:szCs w:val="24"/>
        </w:rPr>
        <w:t>310</w:t>
      </w:r>
      <w:r w:rsidRPr="00F67AB7">
        <w:rPr>
          <w:rFonts w:cs="Times New Roman"/>
          <w:noProof/>
          <w:szCs w:val="24"/>
        </w:rPr>
        <w:t>. https://doi.org/10.47752/sjef.310.171.177</w:t>
      </w:r>
    </w:p>
    <w:p w14:paraId="3EFA6AD3"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Suslov, V. I., &amp; Basareva, V. G. (2020). ECONOMIC DEVELOPMENT AND PUBLIC POLICY: SCANDINAVIA AND SIBERIA. </w:t>
      </w:r>
      <w:r w:rsidRPr="00F67AB7">
        <w:rPr>
          <w:rFonts w:cs="Times New Roman"/>
          <w:i/>
          <w:iCs/>
          <w:noProof/>
          <w:szCs w:val="24"/>
        </w:rPr>
        <w:t>Interexpo GEO-Siberia</w:t>
      </w:r>
      <w:r w:rsidRPr="00F67AB7">
        <w:rPr>
          <w:rFonts w:cs="Times New Roman"/>
          <w:noProof/>
          <w:szCs w:val="24"/>
        </w:rPr>
        <w:t xml:space="preserve">, </w:t>
      </w:r>
      <w:r w:rsidRPr="00F67AB7">
        <w:rPr>
          <w:rFonts w:cs="Times New Roman"/>
          <w:i/>
          <w:iCs/>
          <w:noProof/>
          <w:szCs w:val="24"/>
        </w:rPr>
        <w:t>3</w:t>
      </w:r>
      <w:r w:rsidRPr="00F67AB7">
        <w:rPr>
          <w:rFonts w:cs="Times New Roman"/>
          <w:noProof/>
          <w:szCs w:val="24"/>
        </w:rPr>
        <w:t>(1). https://doi.org/10.33764/2618-981x-2020-3-1-209-218</w:t>
      </w:r>
    </w:p>
    <w:p w14:paraId="27E0ED4E"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Swanstrom, T., Dreier, P., &amp; Mollenkopf, J. (2002). Economic Inequality and Public Policy: The Power of Place. </w:t>
      </w:r>
      <w:r w:rsidRPr="00F67AB7">
        <w:rPr>
          <w:rFonts w:cs="Times New Roman"/>
          <w:i/>
          <w:iCs/>
          <w:noProof/>
          <w:szCs w:val="24"/>
        </w:rPr>
        <w:t>City &amp; Community</w:t>
      </w:r>
      <w:r w:rsidRPr="00F67AB7">
        <w:rPr>
          <w:rFonts w:cs="Times New Roman"/>
          <w:noProof/>
          <w:szCs w:val="24"/>
        </w:rPr>
        <w:t xml:space="preserve">, </w:t>
      </w:r>
      <w:r w:rsidRPr="00F67AB7">
        <w:rPr>
          <w:rFonts w:cs="Times New Roman"/>
          <w:i/>
          <w:iCs/>
          <w:noProof/>
          <w:szCs w:val="24"/>
        </w:rPr>
        <w:t>1</w:t>
      </w:r>
      <w:r w:rsidRPr="00F67AB7">
        <w:rPr>
          <w:rFonts w:cs="Times New Roman"/>
          <w:noProof/>
          <w:szCs w:val="24"/>
        </w:rPr>
        <w:t>(4). https://doi.org/10.1111/1540-6040.00030</w:t>
      </w:r>
    </w:p>
    <w:p w14:paraId="7AFC9C34"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Taub, R. (2015). New Deal Ruins: Race, Economic Justice, and Public Housing Policy. </w:t>
      </w:r>
      <w:r w:rsidRPr="00F67AB7">
        <w:rPr>
          <w:rFonts w:cs="Times New Roman"/>
          <w:i/>
          <w:iCs/>
          <w:noProof/>
          <w:szCs w:val="24"/>
        </w:rPr>
        <w:t>Contemporary Sociology: A Journal of Reviews</w:t>
      </w:r>
      <w:r w:rsidRPr="00F67AB7">
        <w:rPr>
          <w:rFonts w:cs="Times New Roman"/>
          <w:noProof/>
          <w:szCs w:val="24"/>
        </w:rPr>
        <w:t xml:space="preserve">, </w:t>
      </w:r>
      <w:r w:rsidRPr="00F67AB7">
        <w:rPr>
          <w:rFonts w:cs="Times New Roman"/>
          <w:i/>
          <w:iCs/>
          <w:noProof/>
          <w:szCs w:val="24"/>
        </w:rPr>
        <w:t>44</w:t>
      </w:r>
      <w:r w:rsidRPr="00F67AB7">
        <w:rPr>
          <w:rFonts w:cs="Times New Roman"/>
          <w:noProof/>
          <w:szCs w:val="24"/>
        </w:rPr>
        <w:t>(4). https://doi.org/10.1177/0094306115588487x</w:t>
      </w:r>
    </w:p>
    <w:p w14:paraId="4801730C"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Torres Salcido, G., del Roble Pensado Leglise, M., &amp; Smolski, A. (2015). Food distribution’s socio-economic relationships and public policy: Mexico City’s municipal public markets. </w:t>
      </w:r>
      <w:r w:rsidRPr="00F67AB7">
        <w:rPr>
          <w:rFonts w:cs="Times New Roman"/>
          <w:i/>
          <w:iCs/>
          <w:noProof/>
          <w:szCs w:val="24"/>
        </w:rPr>
        <w:t>Development in Practice</w:t>
      </w:r>
      <w:r w:rsidRPr="00F67AB7">
        <w:rPr>
          <w:rFonts w:cs="Times New Roman"/>
          <w:noProof/>
          <w:szCs w:val="24"/>
        </w:rPr>
        <w:t xml:space="preserve">, </w:t>
      </w:r>
      <w:r w:rsidRPr="00F67AB7">
        <w:rPr>
          <w:rFonts w:cs="Times New Roman"/>
          <w:i/>
          <w:iCs/>
          <w:noProof/>
          <w:szCs w:val="24"/>
        </w:rPr>
        <w:t>25</w:t>
      </w:r>
      <w:r w:rsidRPr="00F67AB7">
        <w:rPr>
          <w:rFonts w:cs="Times New Roman"/>
          <w:noProof/>
          <w:szCs w:val="24"/>
        </w:rPr>
        <w:t>(3). https://doi.org/10.1080/09614524.2015.1016481</w:t>
      </w:r>
    </w:p>
    <w:p w14:paraId="7AA76C72"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Victral, D. M., Grossi, L. B., Ramos, A. M., &amp; Gontijo, H. M. (2020). Economic sustainability of water supply public policy in Brazil semiarid regions. </w:t>
      </w:r>
      <w:r w:rsidRPr="00F67AB7">
        <w:rPr>
          <w:rFonts w:cs="Times New Roman"/>
          <w:i/>
          <w:iCs/>
          <w:noProof/>
          <w:szCs w:val="24"/>
        </w:rPr>
        <w:t>Research, Society and Development</w:t>
      </w:r>
      <w:r w:rsidRPr="00F67AB7">
        <w:rPr>
          <w:rFonts w:cs="Times New Roman"/>
          <w:noProof/>
          <w:szCs w:val="24"/>
        </w:rPr>
        <w:t xml:space="preserve">, </w:t>
      </w:r>
      <w:r w:rsidRPr="00F67AB7">
        <w:rPr>
          <w:rFonts w:cs="Times New Roman"/>
          <w:i/>
          <w:iCs/>
          <w:noProof/>
          <w:szCs w:val="24"/>
        </w:rPr>
        <w:t>9</w:t>
      </w:r>
      <w:r w:rsidRPr="00F67AB7">
        <w:rPr>
          <w:rFonts w:cs="Times New Roman"/>
          <w:noProof/>
          <w:szCs w:val="24"/>
        </w:rPr>
        <w:t>(6). https://doi.org/10.33448/rsd-v9i6.3435</w:t>
      </w:r>
    </w:p>
    <w:p w14:paraId="03F8507F" w14:textId="77777777" w:rsidR="00F67AB7" w:rsidRPr="00F67AB7" w:rsidRDefault="00F67AB7" w:rsidP="00F67AB7">
      <w:pPr>
        <w:widowControl w:val="0"/>
        <w:autoSpaceDE w:val="0"/>
        <w:autoSpaceDN w:val="0"/>
        <w:adjustRightInd w:val="0"/>
        <w:spacing w:line="360" w:lineRule="auto"/>
        <w:ind w:left="480" w:hanging="480"/>
        <w:rPr>
          <w:rFonts w:cs="Times New Roman"/>
          <w:noProof/>
          <w:szCs w:val="24"/>
        </w:rPr>
      </w:pPr>
      <w:r w:rsidRPr="00F67AB7">
        <w:rPr>
          <w:rFonts w:cs="Times New Roman"/>
          <w:noProof/>
          <w:szCs w:val="24"/>
        </w:rPr>
        <w:t xml:space="preserve">Wangsness, P. B., Proost, S., &amp; Rødseth, K. L. (2020). Vehicle choices and urban transport externalities. Are Norwegian policy makers getting it right? </w:t>
      </w:r>
      <w:r w:rsidRPr="00F67AB7">
        <w:rPr>
          <w:rFonts w:cs="Times New Roman"/>
          <w:i/>
          <w:iCs/>
          <w:noProof/>
          <w:szCs w:val="24"/>
        </w:rPr>
        <w:t>Transportation Research Part D: Transport and Environment</w:t>
      </w:r>
      <w:r w:rsidRPr="00F67AB7">
        <w:rPr>
          <w:rFonts w:cs="Times New Roman"/>
          <w:noProof/>
          <w:szCs w:val="24"/>
        </w:rPr>
        <w:t xml:space="preserve">, </w:t>
      </w:r>
      <w:r w:rsidRPr="00F67AB7">
        <w:rPr>
          <w:rFonts w:cs="Times New Roman"/>
          <w:i/>
          <w:iCs/>
          <w:noProof/>
          <w:szCs w:val="24"/>
        </w:rPr>
        <w:t>86</w:t>
      </w:r>
      <w:r w:rsidRPr="00F67AB7">
        <w:rPr>
          <w:rFonts w:cs="Times New Roman"/>
          <w:noProof/>
          <w:szCs w:val="24"/>
        </w:rPr>
        <w:t>. https://doi.org/10.1016/j.trd.2020.102384</w:t>
      </w:r>
    </w:p>
    <w:p w14:paraId="6834CE02" w14:textId="77777777" w:rsidR="00F67AB7" w:rsidRPr="00F67AB7" w:rsidRDefault="00F67AB7" w:rsidP="00F67AB7">
      <w:pPr>
        <w:widowControl w:val="0"/>
        <w:autoSpaceDE w:val="0"/>
        <w:autoSpaceDN w:val="0"/>
        <w:adjustRightInd w:val="0"/>
        <w:spacing w:line="360" w:lineRule="auto"/>
        <w:ind w:left="480" w:hanging="480"/>
        <w:rPr>
          <w:rFonts w:cs="Times New Roman"/>
          <w:noProof/>
        </w:rPr>
      </w:pPr>
      <w:r w:rsidRPr="00F67AB7">
        <w:rPr>
          <w:rFonts w:cs="Times New Roman"/>
          <w:noProof/>
          <w:szCs w:val="24"/>
        </w:rPr>
        <w:t xml:space="preserve">Williamson, A. K., &amp; Luke, B. (2020). Agenda-setting and Public Policy in Private Foundations. </w:t>
      </w:r>
      <w:r w:rsidRPr="00F67AB7">
        <w:rPr>
          <w:rFonts w:cs="Times New Roman"/>
          <w:i/>
          <w:iCs/>
          <w:noProof/>
          <w:szCs w:val="24"/>
        </w:rPr>
        <w:lastRenderedPageBreak/>
        <w:t>Nonprofit Policy Forum</w:t>
      </w:r>
      <w:r w:rsidRPr="00F67AB7">
        <w:rPr>
          <w:rFonts w:cs="Times New Roman"/>
          <w:noProof/>
          <w:szCs w:val="24"/>
        </w:rPr>
        <w:t xml:space="preserve">, </w:t>
      </w:r>
      <w:r w:rsidRPr="00F67AB7">
        <w:rPr>
          <w:rFonts w:cs="Times New Roman"/>
          <w:i/>
          <w:iCs/>
          <w:noProof/>
          <w:szCs w:val="24"/>
        </w:rPr>
        <w:t>11</w:t>
      </w:r>
      <w:r w:rsidRPr="00F67AB7">
        <w:rPr>
          <w:rFonts w:cs="Times New Roman"/>
          <w:noProof/>
          <w:szCs w:val="24"/>
        </w:rPr>
        <w:t>(1). https://doi.org/10.1515/npf-2019-0049</w:t>
      </w:r>
    </w:p>
    <w:p w14:paraId="7EBF54D1" w14:textId="752D8025" w:rsidR="00170442" w:rsidRPr="00DF6E13" w:rsidRDefault="00170442" w:rsidP="00984C8D">
      <w:pPr>
        <w:pStyle w:val="SSRNnormal"/>
        <w:rPr>
          <w:rFonts w:eastAsiaTheme="minorEastAsia"/>
        </w:rPr>
      </w:pPr>
      <w:r>
        <w:rPr>
          <w:rFonts w:eastAsiaTheme="minorEastAsia"/>
        </w:rPr>
        <w:fldChar w:fldCharType="end"/>
      </w:r>
    </w:p>
    <w:sectPr w:rsidR="00170442" w:rsidRPr="00DF6E1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6FF43" w14:textId="77777777" w:rsidR="00BF6876" w:rsidRDefault="00BF6876" w:rsidP="00984C8D">
      <w:pPr>
        <w:spacing w:after="0"/>
      </w:pPr>
      <w:r>
        <w:separator/>
      </w:r>
    </w:p>
  </w:endnote>
  <w:endnote w:type="continuationSeparator" w:id="0">
    <w:p w14:paraId="4720C69D" w14:textId="77777777" w:rsidR="00BF6876" w:rsidRDefault="00BF6876" w:rsidP="00984C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0503" w14:textId="77777777" w:rsidR="000926A0" w:rsidRDefault="00092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7E5BA" w14:textId="77777777" w:rsidR="00BF6876" w:rsidRDefault="00BF6876" w:rsidP="00984C8D">
      <w:pPr>
        <w:spacing w:after="0"/>
      </w:pPr>
      <w:r>
        <w:separator/>
      </w:r>
    </w:p>
  </w:footnote>
  <w:footnote w:type="continuationSeparator" w:id="0">
    <w:p w14:paraId="05EF5DFD" w14:textId="77777777" w:rsidR="00BF6876" w:rsidRDefault="00BF6876" w:rsidP="00984C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94E18"/>
    <w:multiLevelType w:val="hybridMultilevel"/>
    <w:tmpl w:val="15385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81272C"/>
    <w:multiLevelType w:val="hybridMultilevel"/>
    <w:tmpl w:val="1CECE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8601C8E"/>
    <w:multiLevelType w:val="hybridMultilevel"/>
    <w:tmpl w:val="2C726DC2"/>
    <w:lvl w:ilvl="0" w:tplc="1A6E7770">
      <w:start w:val="1"/>
      <w:numFmt w:val="decimal"/>
      <w:lvlText w:val="%1."/>
      <w:lvlJc w:val="left"/>
      <w:pPr>
        <w:ind w:left="720" w:hanging="360"/>
      </w:pPr>
      <w:rPr>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46556091">
    <w:abstractNumId w:val="2"/>
    <w:lvlOverride w:ilvl="0">
      <w:startOverride w:val="1"/>
    </w:lvlOverride>
    <w:lvlOverride w:ilvl="1"/>
    <w:lvlOverride w:ilvl="2"/>
    <w:lvlOverride w:ilvl="3"/>
    <w:lvlOverride w:ilvl="4"/>
    <w:lvlOverride w:ilvl="5"/>
    <w:lvlOverride w:ilvl="6"/>
    <w:lvlOverride w:ilvl="7"/>
    <w:lvlOverride w:ilvl="8"/>
  </w:num>
  <w:num w:numId="2" w16cid:durableId="1488936091">
    <w:abstractNumId w:val="1"/>
  </w:num>
  <w:num w:numId="3" w16cid:durableId="80640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xtDSzNDcyNzAxMjVT0lEKTi0uzszPAykwrAUAx9xr+ywAAAA="/>
  </w:docVars>
  <w:rsids>
    <w:rsidRoot w:val="00984C8D"/>
    <w:rsid w:val="000926A0"/>
    <w:rsid w:val="00103298"/>
    <w:rsid w:val="001335F8"/>
    <w:rsid w:val="00170442"/>
    <w:rsid w:val="00186F9F"/>
    <w:rsid w:val="001A0248"/>
    <w:rsid w:val="002164D5"/>
    <w:rsid w:val="002C29DB"/>
    <w:rsid w:val="003A5A1D"/>
    <w:rsid w:val="003F2B36"/>
    <w:rsid w:val="0042666C"/>
    <w:rsid w:val="00461CB5"/>
    <w:rsid w:val="004D6CF4"/>
    <w:rsid w:val="0051337E"/>
    <w:rsid w:val="00547F9F"/>
    <w:rsid w:val="00565B55"/>
    <w:rsid w:val="005A4FE5"/>
    <w:rsid w:val="005B65D5"/>
    <w:rsid w:val="005F3472"/>
    <w:rsid w:val="00641DAA"/>
    <w:rsid w:val="006A2A1F"/>
    <w:rsid w:val="007F3E41"/>
    <w:rsid w:val="008F2E95"/>
    <w:rsid w:val="00984C8D"/>
    <w:rsid w:val="009D6EEA"/>
    <w:rsid w:val="00AD4FBE"/>
    <w:rsid w:val="00B87937"/>
    <w:rsid w:val="00BA72D9"/>
    <w:rsid w:val="00BF6876"/>
    <w:rsid w:val="00C547B6"/>
    <w:rsid w:val="00DE23A0"/>
    <w:rsid w:val="00F63366"/>
    <w:rsid w:val="00F6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A6798"/>
  <w15:docId w15:val="{44FC4F65-BEDA-4247-B709-DEB03AD3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C8D"/>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AD4FBE"/>
    <w:pPr>
      <w:keepNext/>
      <w:keepLines/>
      <w:spacing w:line="360" w:lineRule="auto"/>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RNnormal">
    <w:name w:val="SSRN_normal"/>
    <w:basedOn w:val="Normal"/>
    <w:qFormat/>
    <w:rsid w:val="00AD4FBE"/>
    <w:pPr>
      <w:spacing w:line="360" w:lineRule="auto"/>
    </w:pPr>
  </w:style>
  <w:style w:type="paragraph" w:customStyle="1" w:styleId="SSRNheading">
    <w:name w:val="SSRN_heading"/>
    <w:basedOn w:val="SSRNnormal"/>
    <w:qFormat/>
    <w:rsid w:val="00AD4FBE"/>
    <w:rPr>
      <w:b/>
    </w:rPr>
  </w:style>
  <w:style w:type="character" w:customStyle="1" w:styleId="Heading1Char">
    <w:name w:val="Heading 1 Char"/>
    <w:basedOn w:val="DefaultParagraphFont"/>
    <w:link w:val="Heading1"/>
    <w:uiPriority w:val="9"/>
    <w:rsid w:val="00AD4FBE"/>
    <w:rPr>
      <w:rFonts w:ascii="Times New Roman" w:eastAsiaTheme="majorEastAsia" w:hAnsi="Times New Roman" w:cstheme="majorBidi"/>
      <w:b/>
      <w:bCs/>
      <w:sz w:val="24"/>
      <w:szCs w:val="28"/>
    </w:rPr>
  </w:style>
  <w:style w:type="character" w:styleId="Emphasis">
    <w:name w:val="Emphasis"/>
    <w:basedOn w:val="DefaultParagraphFont"/>
    <w:uiPriority w:val="20"/>
    <w:qFormat/>
    <w:rsid w:val="00AD4FBE"/>
    <w:rPr>
      <w:i/>
      <w:iCs/>
    </w:rPr>
  </w:style>
  <w:style w:type="paragraph" w:styleId="ListParagraph">
    <w:name w:val="List Paragraph"/>
    <w:basedOn w:val="Normal"/>
    <w:uiPriority w:val="34"/>
    <w:qFormat/>
    <w:rsid w:val="00AD4FBE"/>
    <w:pPr>
      <w:ind w:left="720"/>
      <w:contextualSpacing/>
    </w:pPr>
  </w:style>
  <w:style w:type="paragraph" w:styleId="FootnoteText">
    <w:name w:val="footnote text"/>
    <w:basedOn w:val="Normal"/>
    <w:link w:val="FootnoteTextChar"/>
    <w:uiPriority w:val="99"/>
    <w:semiHidden/>
    <w:unhideWhenUsed/>
    <w:rsid w:val="00984C8D"/>
    <w:pPr>
      <w:spacing w:after="0"/>
    </w:pPr>
    <w:rPr>
      <w:sz w:val="20"/>
      <w:szCs w:val="20"/>
    </w:rPr>
  </w:style>
  <w:style w:type="character" w:customStyle="1" w:styleId="FootnoteTextChar">
    <w:name w:val="Footnote Text Char"/>
    <w:basedOn w:val="DefaultParagraphFont"/>
    <w:link w:val="FootnoteText"/>
    <w:uiPriority w:val="99"/>
    <w:semiHidden/>
    <w:rsid w:val="00984C8D"/>
    <w:rPr>
      <w:rFonts w:ascii="Times New Roman" w:hAnsi="Times New Roman"/>
      <w:sz w:val="20"/>
      <w:szCs w:val="20"/>
    </w:rPr>
  </w:style>
  <w:style w:type="character" w:styleId="FootnoteReference">
    <w:name w:val="footnote reference"/>
    <w:basedOn w:val="DefaultParagraphFont"/>
    <w:uiPriority w:val="99"/>
    <w:semiHidden/>
    <w:unhideWhenUsed/>
    <w:rsid w:val="00984C8D"/>
    <w:rPr>
      <w:vertAlign w:val="superscript"/>
    </w:rPr>
  </w:style>
  <w:style w:type="character" w:styleId="Hyperlink">
    <w:name w:val="Hyperlink"/>
    <w:basedOn w:val="DefaultParagraphFont"/>
    <w:uiPriority w:val="99"/>
    <w:semiHidden/>
    <w:unhideWhenUsed/>
    <w:rsid w:val="00984C8D"/>
    <w:rPr>
      <w:color w:val="0000FF"/>
      <w:u w:val="single"/>
    </w:rPr>
  </w:style>
  <w:style w:type="paragraph" w:styleId="Footer">
    <w:name w:val="footer"/>
    <w:basedOn w:val="Normal"/>
    <w:link w:val="FooterChar"/>
    <w:uiPriority w:val="99"/>
    <w:unhideWhenUsed/>
    <w:rsid w:val="00984C8D"/>
    <w:pPr>
      <w:tabs>
        <w:tab w:val="center" w:pos="4680"/>
        <w:tab w:val="right" w:pos="9360"/>
      </w:tabs>
      <w:spacing w:after="0"/>
    </w:pPr>
  </w:style>
  <w:style w:type="character" w:customStyle="1" w:styleId="FooterChar">
    <w:name w:val="Footer Char"/>
    <w:basedOn w:val="DefaultParagraphFont"/>
    <w:link w:val="Footer"/>
    <w:uiPriority w:val="99"/>
    <w:rsid w:val="00984C8D"/>
    <w:rPr>
      <w:rFonts w:ascii="Times New Roman" w:hAnsi="Times New Roman"/>
      <w:sz w:val="24"/>
    </w:rPr>
  </w:style>
  <w:style w:type="paragraph" w:styleId="BalloonText">
    <w:name w:val="Balloon Text"/>
    <w:basedOn w:val="Normal"/>
    <w:link w:val="BalloonTextChar"/>
    <w:uiPriority w:val="99"/>
    <w:semiHidden/>
    <w:unhideWhenUsed/>
    <w:rsid w:val="00984C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C8D"/>
    <w:rPr>
      <w:rFonts w:ascii="Tahoma" w:hAnsi="Tahoma" w:cs="Tahoma"/>
      <w:sz w:val="16"/>
      <w:szCs w:val="16"/>
    </w:rPr>
  </w:style>
  <w:style w:type="paragraph" w:styleId="Header">
    <w:name w:val="header"/>
    <w:basedOn w:val="Normal"/>
    <w:link w:val="HeaderChar"/>
    <w:uiPriority w:val="99"/>
    <w:unhideWhenUsed/>
    <w:rsid w:val="003A5A1D"/>
    <w:pPr>
      <w:tabs>
        <w:tab w:val="center" w:pos="4680"/>
        <w:tab w:val="right" w:pos="9360"/>
      </w:tabs>
      <w:spacing w:after="0"/>
    </w:pPr>
  </w:style>
  <w:style w:type="character" w:customStyle="1" w:styleId="HeaderChar">
    <w:name w:val="Header Char"/>
    <w:basedOn w:val="DefaultParagraphFont"/>
    <w:link w:val="Header"/>
    <w:uiPriority w:val="99"/>
    <w:rsid w:val="003A5A1D"/>
    <w:rPr>
      <w:rFonts w:ascii="Times New Roman" w:hAnsi="Times New Roman"/>
      <w:sz w:val="24"/>
    </w:rPr>
  </w:style>
  <w:style w:type="paragraph" w:styleId="Caption">
    <w:name w:val="caption"/>
    <w:basedOn w:val="Normal"/>
    <w:next w:val="Normal"/>
    <w:uiPriority w:val="35"/>
    <w:unhideWhenUsed/>
    <w:qFormat/>
    <w:rsid w:val="001A0248"/>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6A2BA7-5010-4442-BEFC-BA63C6D70F28}">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6C15-111B-43C1-8ABF-40973813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24</Pages>
  <Words>37840</Words>
  <Characters>205851</Characters>
  <Application>Microsoft Office Word</Application>
  <DocSecurity>0</DocSecurity>
  <Lines>5718</Lines>
  <Paragraphs>1657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constantinos</dc:creator>
  <cp:lastModifiedBy>Κωνσταντίνος Χαλλουμής</cp:lastModifiedBy>
  <cp:revision>19</cp:revision>
  <cp:lastPrinted>2018-04-12T21:52:00Z</cp:lastPrinted>
  <dcterms:created xsi:type="dcterms:W3CDTF">2024-02-14T21:31:00Z</dcterms:created>
  <dcterms:modified xsi:type="dcterms:W3CDTF">2024-02-14T23:15:00Z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http://www.zotero.org/styles/chicago-fullnote-bibliography</vt:lpwstr>
  </property>
  <property fmtid="{D5CDD505-2E9C-101B-9397-08002B2CF9AE}" pid="7" name="Mendeley Recent Style Name 2_1">
    <vt:lpwstr>Chicago Manual of Style 17th edition (full note)</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17th edition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http://www.zotero.org/styles/university-of-gothenburg-apa-7th-edition-swedish-legislations</vt:lpwstr>
  </property>
  <property fmtid="{D5CDD505-2E9C-101B-9397-08002B2CF9AE}" pid="17" name="Mendeley Recent Style Name 7_1">
    <vt:lpwstr>University of Gothenburg - APA 7th edition (Swedish legislations)</vt:lpwstr>
  </property>
  <property fmtid="{D5CDD505-2E9C-101B-9397-08002B2CF9AE}" pid="18" name="Mendeley Recent Style Id 8_1">
    <vt:lpwstr>http://www.zotero.org/styles/university-of-york-apa</vt:lpwstr>
  </property>
  <property fmtid="{D5CDD505-2E9C-101B-9397-08002B2CF9AE}" pid="19" name="Mendeley Recent Style Name 8_1">
    <vt:lpwstr>University of York - APA 6th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b866e7af-562e-3eb3-a6c4-d95643af781b</vt:lpwstr>
  </property>
  <property fmtid="{D5CDD505-2E9C-101B-9397-08002B2CF9AE}" pid="24" name="Mendeley Citation Style_1">
    <vt:lpwstr>http://www.zotero.org/styles/apa</vt:lpwstr>
  </property>
</Properties>
</file>